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D781B" w14:textId="77777777" w:rsidR="006721D4" w:rsidRDefault="006721D4"/>
    <w:p w14:paraId="72E5763B" w14:textId="77777777" w:rsidR="006721D4" w:rsidRDefault="008820F4">
      <w:pPr>
        <w:jc w:val="center"/>
        <w:rPr>
          <w:b/>
        </w:rPr>
      </w:pPr>
      <w:r>
        <w:rPr>
          <w:b/>
        </w:rPr>
        <w:t>UNITED STATES DISTRICT COURT</w:t>
      </w:r>
    </w:p>
    <w:p w14:paraId="67F59EC8" w14:textId="77777777" w:rsidR="006721D4" w:rsidRDefault="006721D4">
      <w:pPr>
        <w:jc w:val="center"/>
        <w:rPr>
          <w:b/>
        </w:rPr>
      </w:pPr>
    </w:p>
    <w:p w14:paraId="54D9477B" w14:textId="77777777" w:rsidR="006721D4" w:rsidRDefault="008820F4">
      <w:pPr>
        <w:jc w:val="center"/>
        <w:rPr>
          <w:b/>
        </w:rPr>
      </w:pPr>
      <w:r>
        <w:rPr>
          <w:b/>
        </w:rPr>
        <w:t>DISTRICT OF MOOT</w:t>
      </w:r>
    </w:p>
    <w:p w14:paraId="2E9817F2" w14:textId="77777777" w:rsidR="006721D4" w:rsidRDefault="006721D4">
      <w:pPr>
        <w:pBdr>
          <w:bottom w:val="single" w:sz="4" w:space="1" w:color="000000"/>
        </w:pBdr>
        <w:jc w:val="center"/>
        <w:rPr>
          <w:b/>
        </w:rPr>
      </w:pPr>
    </w:p>
    <w:p w14:paraId="1BDB65B9" w14:textId="77777777" w:rsidR="006721D4" w:rsidRDefault="006721D4">
      <w:pPr>
        <w:jc w:val="center"/>
        <w:rPr>
          <w:b/>
        </w:rPr>
      </w:pPr>
    </w:p>
    <w:tbl>
      <w:tblPr>
        <w:tblW w:w="0" w:type="auto"/>
        <w:tblInd w:w="108" w:type="dxa"/>
        <w:tblLayout w:type="fixed"/>
        <w:tblLook w:val="0000" w:firstRow="0" w:lastRow="0" w:firstColumn="0" w:lastColumn="0" w:noHBand="0" w:noVBand="0"/>
      </w:tblPr>
      <w:tblGrid>
        <w:gridCol w:w="4320"/>
        <w:gridCol w:w="4428"/>
      </w:tblGrid>
      <w:tr w:rsidR="006721D4" w14:paraId="2921DB8B" w14:textId="77777777">
        <w:tc>
          <w:tcPr>
            <w:tcW w:w="4320" w:type="dxa"/>
            <w:shd w:val="clear" w:color="auto" w:fill="auto"/>
          </w:tcPr>
          <w:p w14:paraId="4ADA36A2" w14:textId="77777777" w:rsidR="006721D4" w:rsidRDefault="008820F4">
            <w:pPr>
              <w:pStyle w:val="Footer"/>
              <w:widowControl w:val="0"/>
              <w:tabs>
                <w:tab w:val="clear" w:pos="4320"/>
                <w:tab w:val="clear" w:pos="8640"/>
              </w:tabs>
              <w:snapToGrid w:val="0"/>
            </w:pPr>
            <w:r>
              <w:t>OGS TV, Inc.,</w:t>
            </w:r>
          </w:p>
          <w:p w14:paraId="306EC92F" w14:textId="77777777" w:rsidR="006721D4" w:rsidRDefault="008820F4" w:rsidP="0069764D">
            <w:pPr>
              <w:pStyle w:val="Footer"/>
              <w:widowControl w:val="0"/>
              <w:tabs>
                <w:tab w:val="clear" w:pos="4320"/>
                <w:tab w:val="clear" w:pos="8640"/>
              </w:tabs>
            </w:pPr>
            <w:r>
              <w:t xml:space="preserve">                       Plaintiff,</w:t>
            </w:r>
          </w:p>
        </w:tc>
        <w:tc>
          <w:tcPr>
            <w:tcW w:w="4428" w:type="dxa"/>
            <w:shd w:val="clear" w:color="auto" w:fill="auto"/>
          </w:tcPr>
          <w:p w14:paraId="2528CBDE" w14:textId="77777777" w:rsidR="006721D4" w:rsidRDefault="008820F4">
            <w:pPr>
              <w:pStyle w:val="Footer"/>
              <w:widowControl w:val="0"/>
              <w:tabs>
                <w:tab w:val="clear" w:pos="4320"/>
                <w:tab w:val="clear" w:pos="8640"/>
              </w:tabs>
              <w:snapToGrid w:val="0"/>
            </w:pPr>
            <w:r>
              <w:t xml:space="preserve">               Civ. No. 27-CV-12-1234</w:t>
            </w:r>
          </w:p>
        </w:tc>
      </w:tr>
      <w:tr w:rsidR="006721D4" w14:paraId="4EE18D27" w14:textId="77777777">
        <w:tc>
          <w:tcPr>
            <w:tcW w:w="4320" w:type="dxa"/>
            <w:shd w:val="clear" w:color="auto" w:fill="auto"/>
          </w:tcPr>
          <w:p w14:paraId="12F01973" w14:textId="77777777" w:rsidR="006721D4" w:rsidRDefault="006721D4">
            <w:pPr>
              <w:pStyle w:val="Footer"/>
              <w:widowControl w:val="0"/>
              <w:tabs>
                <w:tab w:val="clear" w:pos="4320"/>
                <w:tab w:val="clear" w:pos="8640"/>
              </w:tabs>
              <w:snapToGrid w:val="0"/>
            </w:pPr>
          </w:p>
          <w:p w14:paraId="200CFBDD" w14:textId="77777777" w:rsidR="006721D4" w:rsidRDefault="008820F4">
            <w:pPr>
              <w:pStyle w:val="Footer"/>
              <w:widowControl w:val="0"/>
              <w:tabs>
                <w:tab w:val="clear" w:pos="4320"/>
                <w:tab w:val="clear" w:pos="8640"/>
              </w:tabs>
            </w:pPr>
            <w:r>
              <w:t>v.</w:t>
            </w:r>
          </w:p>
        </w:tc>
        <w:tc>
          <w:tcPr>
            <w:tcW w:w="4428" w:type="dxa"/>
            <w:shd w:val="clear" w:color="auto" w:fill="auto"/>
          </w:tcPr>
          <w:p w14:paraId="2D2711C5" w14:textId="77777777" w:rsidR="006721D4" w:rsidRDefault="008820F4">
            <w:pPr>
              <w:pStyle w:val="Footer"/>
              <w:widowControl w:val="0"/>
              <w:tabs>
                <w:tab w:val="clear" w:pos="4320"/>
                <w:tab w:val="clear" w:pos="8640"/>
              </w:tabs>
              <w:snapToGrid w:val="0"/>
              <w:rPr>
                <w:b/>
              </w:rPr>
            </w:pPr>
            <w:r>
              <w:rPr>
                <w:b/>
              </w:rPr>
              <w:t xml:space="preserve">PLAINTIFF’S MEMORANDUM IN OPPOSITION TO DEFENDANTS’ MOTION FOR DISMISSAL </w:t>
            </w:r>
          </w:p>
        </w:tc>
      </w:tr>
      <w:tr w:rsidR="006721D4" w14:paraId="37618B2B" w14:textId="77777777">
        <w:tc>
          <w:tcPr>
            <w:tcW w:w="4320" w:type="dxa"/>
            <w:shd w:val="clear" w:color="auto" w:fill="auto"/>
          </w:tcPr>
          <w:p w14:paraId="3DF10229" w14:textId="77777777" w:rsidR="006721D4" w:rsidRDefault="006721D4">
            <w:pPr>
              <w:pStyle w:val="Footer"/>
              <w:widowControl w:val="0"/>
              <w:tabs>
                <w:tab w:val="clear" w:pos="4320"/>
                <w:tab w:val="clear" w:pos="8640"/>
              </w:tabs>
              <w:snapToGrid w:val="0"/>
            </w:pPr>
          </w:p>
          <w:p w14:paraId="61ECB56F" w14:textId="77777777" w:rsidR="006721D4" w:rsidRDefault="008820F4">
            <w:pPr>
              <w:pStyle w:val="Footer"/>
              <w:widowControl w:val="0"/>
              <w:tabs>
                <w:tab w:val="clear" w:pos="4320"/>
                <w:tab w:val="clear" w:pos="8640"/>
              </w:tabs>
            </w:pPr>
            <w:r>
              <w:t xml:space="preserve">Elizabeth Lime and </w:t>
            </w:r>
            <w:proofErr w:type="spellStart"/>
            <w:r>
              <w:t>TinyTV</w:t>
            </w:r>
            <w:proofErr w:type="spellEnd"/>
            <w:r>
              <w:t>, Inc.,</w:t>
            </w:r>
          </w:p>
          <w:p w14:paraId="50F95BA9" w14:textId="77777777" w:rsidR="006721D4" w:rsidRDefault="006721D4">
            <w:pPr>
              <w:pStyle w:val="Footer"/>
              <w:widowControl w:val="0"/>
              <w:tabs>
                <w:tab w:val="clear" w:pos="4320"/>
                <w:tab w:val="clear" w:pos="8640"/>
              </w:tabs>
            </w:pPr>
          </w:p>
          <w:p w14:paraId="093E314C" w14:textId="77777777" w:rsidR="006721D4" w:rsidRDefault="008820F4">
            <w:pPr>
              <w:pStyle w:val="Footer"/>
              <w:widowControl w:val="0"/>
              <w:tabs>
                <w:tab w:val="clear" w:pos="4320"/>
                <w:tab w:val="clear" w:pos="8640"/>
              </w:tabs>
            </w:pPr>
            <w:r>
              <w:t xml:space="preserve">                        Defendants. </w:t>
            </w:r>
          </w:p>
        </w:tc>
        <w:tc>
          <w:tcPr>
            <w:tcW w:w="4428" w:type="dxa"/>
            <w:shd w:val="clear" w:color="auto" w:fill="auto"/>
          </w:tcPr>
          <w:p w14:paraId="31F5EE5A" w14:textId="77777777" w:rsidR="006721D4" w:rsidRDefault="008820F4">
            <w:pPr>
              <w:snapToGrid w:val="0"/>
            </w:pPr>
            <w:r>
              <w:t xml:space="preserve">               </w:t>
            </w:r>
          </w:p>
          <w:p w14:paraId="42C5BFF2" w14:textId="77777777" w:rsidR="006721D4" w:rsidRDefault="008820F4">
            <w:r>
              <w:t xml:space="preserve">             </w:t>
            </w:r>
          </w:p>
        </w:tc>
      </w:tr>
    </w:tbl>
    <w:p w14:paraId="3424CBCF" w14:textId="77777777" w:rsidR="006721D4" w:rsidRDefault="006721D4">
      <w:pPr>
        <w:pBdr>
          <w:bottom w:val="single" w:sz="4" w:space="1" w:color="000000"/>
        </w:pBdr>
        <w:jc w:val="both"/>
        <w:rPr>
          <w:i/>
        </w:rPr>
      </w:pPr>
    </w:p>
    <w:p w14:paraId="02ABA037" w14:textId="77777777" w:rsidR="006721D4" w:rsidRDefault="006721D4"/>
    <w:p w14:paraId="0D2E138F" w14:textId="77777777" w:rsidR="006721D4" w:rsidRDefault="006721D4">
      <w:pPr>
        <w:pStyle w:val="Heading2"/>
      </w:pPr>
    </w:p>
    <w:p w14:paraId="3BB1038F" w14:textId="77777777" w:rsidR="006721D4" w:rsidRDefault="006721D4"/>
    <w:p w14:paraId="10E24EAC" w14:textId="77777777" w:rsidR="006721D4" w:rsidRDefault="008820F4">
      <w:pPr>
        <w:jc w:val="center"/>
        <w:rPr>
          <w:b/>
        </w:rPr>
      </w:pPr>
      <w:r>
        <w:rPr>
          <w:b/>
        </w:rPr>
        <w:t>INTRODUCTION</w:t>
      </w:r>
    </w:p>
    <w:p w14:paraId="54F0DCD9" w14:textId="77777777" w:rsidR="006721D4" w:rsidRDefault="006721D4">
      <w:pPr>
        <w:jc w:val="center"/>
        <w:rPr>
          <w:b/>
        </w:rPr>
      </w:pPr>
    </w:p>
    <w:p w14:paraId="37554BCC" w14:textId="77777777" w:rsidR="006721D4" w:rsidRDefault="008820F4">
      <w:pPr>
        <w:pStyle w:val="BodyText"/>
        <w:spacing w:line="480" w:lineRule="auto"/>
      </w:pPr>
      <w:r>
        <w:tab/>
        <w:t xml:space="preserve">Plaintiff OGS TV, Inc. alleges that Defendants Elizabeth Lime (Lime) and </w:t>
      </w:r>
      <w:proofErr w:type="spellStart"/>
      <w:r>
        <w:t>TinyTV</w:t>
      </w:r>
      <w:proofErr w:type="spellEnd"/>
      <w:r>
        <w:t>, Inc. (</w:t>
      </w:r>
      <w:proofErr w:type="spellStart"/>
      <w:r>
        <w:t>TinyTV</w:t>
      </w:r>
      <w:proofErr w:type="spellEnd"/>
      <w:r>
        <w:t xml:space="preserve">) violated the Federal Copyright Act of 1976. Defendants created and profited from a derivative work of a copyrighted screenplay authored and owned by Plaintiff. The original screenplay was produced by Lime for Plaintiff under the work-for-hire doctrine, as confirmed by Lime’s signed </w:t>
      </w:r>
      <w:r w:rsidR="0069764D">
        <w:t>contract</w:t>
      </w:r>
      <w:r>
        <w:t>. The question of law in dispute is whether the oral contract for a work-for-hire may be committed to writing after the creation of the work. Defendants’ understanding that the signed writing must be completed prior to the creation of the work is not good law outside the Seventh Circuit.  In contrast</w:t>
      </w:r>
      <w:r w:rsidR="00C12AF1">
        <w:t>,</w:t>
      </w:r>
      <w:r>
        <w:t xml:space="preserve"> the </w:t>
      </w:r>
      <w:r w:rsidR="0069764D">
        <w:t xml:space="preserve">Second, </w:t>
      </w:r>
      <w:r>
        <w:t>First</w:t>
      </w:r>
      <w:r w:rsidR="0069764D">
        <w:t>,</w:t>
      </w:r>
      <w:r>
        <w:t xml:space="preserve"> and Fifth Circuits have interpreted the rule to allow committing the agreement to writing after the creation of the work</w:t>
      </w:r>
      <w:r w:rsidRPr="00C12AF1">
        <w:t xml:space="preserve">. </w:t>
      </w:r>
      <w:r w:rsidR="00C12AF1">
        <w:t xml:space="preserve">Due to the clear precedents as applied to these facts, the public policy benefits, and the Defendant’s unethical behavior, </w:t>
      </w:r>
      <w:r w:rsidRPr="00C12AF1">
        <w:t>the cou</w:t>
      </w:r>
      <w:r w:rsidR="00C12AF1">
        <w:t>rt must reject the Defendants' M</w:t>
      </w:r>
      <w:r w:rsidRPr="00C12AF1">
        <w:t xml:space="preserve">otion for </w:t>
      </w:r>
      <w:r w:rsidR="00C12AF1">
        <w:t>D</w:t>
      </w:r>
      <w:r w:rsidR="0069764D" w:rsidRPr="00C12AF1">
        <w:t>ismissal</w:t>
      </w:r>
      <w:r w:rsidRPr="00C12AF1">
        <w:t>.</w:t>
      </w:r>
    </w:p>
    <w:p w14:paraId="5E499837" w14:textId="77777777" w:rsidR="006721D4" w:rsidRDefault="008820F4">
      <w:pPr>
        <w:pStyle w:val="BodyText"/>
        <w:spacing w:line="480" w:lineRule="auto"/>
      </w:pPr>
      <w:r>
        <w:t xml:space="preserve"> </w:t>
      </w:r>
    </w:p>
    <w:p w14:paraId="48615E48" w14:textId="77777777" w:rsidR="006721D4" w:rsidRDefault="008820F4">
      <w:pPr>
        <w:pStyle w:val="Heading2"/>
      </w:pPr>
      <w:r>
        <w:lastRenderedPageBreak/>
        <w:t>FACTUAL BACKGROUND</w:t>
      </w:r>
    </w:p>
    <w:p w14:paraId="5A6AC400" w14:textId="77777777" w:rsidR="006721D4" w:rsidRDefault="006721D4">
      <w:pPr>
        <w:jc w:val="center"/>
      </w:pPr>
    </w:p>
    <w:p w14:paraId="4CEE17A7" w14:textId="77777777" w:rsidR="006721D4" w:rsidRDefault="008820F4">
      <w:pPr>
        <w:spacing w:line="480" w:lineRule="auto"/>
        <w:jc w:val="both"/>
      </w:pPr>
      <w:r>
        <w:t xml:space="preserve">The following facts are undisputed: </w:t>
      </w:r>
    </w:p>
    <w:p w14:paraId="650E51D5" w14:textId="77777777" w:rsidR="006721D4" w:rsidRDefault="008820F4">
      <w:pPr>
        <w:spacing w:line="480" w:lineRule="auto"/>
        <w:ind w:firstLine="720"/>
        <w:jc w:val="both"/>
      </w:pPr>
      <w:r>
        <w:t>Plaintiff OGS TV, Inc. creates, produces, and airs original television programming for the edification and enjoyment of the viewing public. (Compl. ¶ 5.) Plaintiff, through its agent, executive producer Dave Nelson, verbally contracted with Lime that she would produce a screenplay for Plaintiff as a work-for-hire in exchange for $6,000. (</w:t>
      </w:r>
      <w:r>
        <w:rPr>
          <w:i/>
        </w:rPr>
        <w:t xml:space="preserve">Id. </w:t>
      </w:r>
      <w:r>
        <w:t>¶¶ 10, 13, 15, 16, 17, 18.) Lime is a screen writer with more than fifteen years of experience writing for television and as such is reasonably expected to be familiar with the norms and procedures for copyright with respect to her work product. (</w:t>
      </w:r>
      <w:r>
        <w:rPr>
          <w:i/>
        </w:rPr>
        <w:t>Id.</w:t>
      </w:r>
      <w:r>
        <w:t xml:space="preserve"> ¶ 11.) Lime agreed that she understood that this was a work-for-hire contract and that Plaintiff would be the author of the work. (</w:t>
      </w:r>
      <w:r>
        <w:rPr>
          <w:i/>
        </w:rPr>
        <w:t>Id.</w:t>
      </w:r>
      <w:r>
        <w:t xml:space="preserve"> ¶¶ 16, 17, 18.) Specifically, Dave Nelson stated that, “Your work on the screenplay is for hire. For all intents and purposes we’ll be the author.” (</w:t>
      </w:r>
      <w:r>
        <w:rPr>
          <w:i/>
        </w:rPr>
        <w:t>Id.</w:t>
      </w:r>
      <w:r>
        <w:t xml:space="preserve"> ¶ 16.) When Dave then asked, “Do you understand, and is that OK with you?” (</w:t>
      </w:r>
      <w:r>
        <w:rPr>
          <w:i/>
        </w:rPr>
        <w:t>Id.</w:t>
      </w:r>
      <w:r>
        <w:t xml:space="preserve"> ¶ 16.), Lime replied “Yes.” (</w:t>
      </w:r>
      <w:r>
        <w:rPr>
          <w:i/>
        </w:rPr>
        <w:t>Id.</w:t>
      </w:r>
      <w:r>
        <w:t xml:space="preserve"> ¶ 17.)    </w:t>
      </w:r>
    </w:p>
    <w:p w14:paraId="7166555B" w14:textId="77777777" w:rsidR="006721D4" w:rsidRDefault="008820F4">
      <w:pPr>
        <w:spacing w:line="480" w:lineRule="auto"/>
        <w:ind w:firstLine="720"/>
        <w:jc w:val="both"/>
      </w:pPr>
      <w:r>
        <w:t>Lime sent the screenplay to the Plaintiff five days later. (</w:t>
      </w:r>
      <w:r>
        <w:rPr>
          <w:i/>
        </w:rPr>
        <w:t>Id.</w:t>
      </w:r>
      <w:r>
        <w:t xml:space="preserve"> ¶ 21.) Ten days after contracting to perform the work-for-hire, the Plaintiff signed the work-for-hire agreement (</w:t>
      </w:r>
      <w:r>
        <w:rPr>
          <w:i/>
        </w:rPr>
        <w:t xml:space="preserve">Id. </w:t>
      </w:r>
      <w:r>
        <w:t>¶ 22.) and accepted a check for $6,000 as payment for the work completed, including the authorship rights to the screenplay. (</w:t>
      </w:r>
      <w:r>
        <w:rPr>
          <w:i/>
        </w:rPr>
        <w:t>Id.</w:t>
      </w:r>
      <w:r>
        <w:t xml:space="preserve"> ¶ 24.) Plaintiff registered with Register of Copyrights and received certificate of registration of copyright on the screenplay. (</w:t>
      </w:r>
      <w:r>
        <w:rPr>
          <w:i/>
        </w:rPr>
        <w:t>Id.</w:t>
      </w:r>
      <w:r>
        <w:t xml:space="preserve"> ¶ 22.)</w:t>
      </w:r>
    </w:p>
    <w:p w14:paraId="7DE5835C" w14:textId="77777777" w:rsidR="006721D4" w:rsidRDefault="008820F4">
      <w:pPr>
        <w:spacing w:line="480" w:lineRule="auto"/>
        <w:ind w:firstLine="720"/>
        <w:jc w:val="both"/>
      </w:pPr>
      <w:r>
        <w:t xml:space="preserve">Plaintiff opted not to use Lime’s screenplay due to </w:t>
      </w:r>
      <w:r w:rsidR="0069764D">
        <w:t>its poor</w:t>
      </w:r>
      <w:r>
        <w:t xml:space="preserve"> fit with the </w:t>
      </w:r>
      <w:r w:rsidR="006036E2">
        <w:t xml:space="preserve">theme of the show </w:t>
      </w:r>
      <w:r>
        <w:t>and the</w:t>
      </w:r>
      <w:r w:rsidR="00FB2F5D">
        <w:t xml:space="preserve"> high production</w:t>
      </w:r>
      <w:r>
        <w:t xml:space="preserve"> costs associated with the </w:t>
      </w:r>
      <w:r w:rsidR="0069764D">
        <w:t>unusual</w:t>
      </w:r>
      <w:r>
        <w:t xml:space="preserve"> scenes</w:t>
      </w:r>
      <w:r w:rsidR="006036E2">
        <w:t>.</w:t>
      </w:r>
      <w:r>
        <w:t xml:space="preserve"> (</w:t>
      </w:r>
      <w:r>
        <w:rPr>
          <w:i/>
        </w:rPr>
        <w:t>Id.</w:t>
      </w:r>
      <w:r>
        <w:t xml:space="preserve"> ¶ </w:t>
      </w:r>
      <w:r w:rsidR="006036E2">
        <w:t>26.)</w:t>
      </w:r>
      <w:r>
        <w:t xml:space="preserve">  Lime subsequently entered into an agreement with codefendant </w:t>
      </w:r>
      <w:proofErr w:type="spellStart"/>
      <w:r>
        <w:t>TinyTV</w:t>
      </w:r>
      <w:proofErr w:type="spellEnd"/>
      <w:r>
        <w:t xml:space="preserve"> and </w:t>
      </w:r>
      <w:r w:rsidR="00FB2F5D">
        <w:t>created</w:t>
      </w:r>
      <w:r>
        <w:t xml:space="preserve"> a </w:t>
      </w:r>
      <w:r>
        <w:lastRenderedPageBreak/>
        <w:t>screenplay derivative of the one produced for Plaintiff. (</w:t>
      </w:r>
      <w:r>
        <w:rPr>
          <w:i/>
        </w:rPr>
        <w:t>Id.</w:t>
      </w:r>
      <w:r>
        <w:t xml:space="preserve"> ¶¶ 27, 28.) The derivative screenplay included verbatim dialogue, as well as characters and storyline copied from the original script. (</w:t>
      </w:r>
      <w:r>
        <w:rPr>
          <w:i/>
        </w:rPr>
        <w:t>Id</w:t>
      </w:r>
      <w:r>
        <w:t>. ¶ 31.)   The Defendants produced and performed the derivative screenplay for economic gain. (</w:t>
      </w:r>
      <w:r>
        <w:rPr>
          <w:i/>
        </w:rPr>
        <w:t>Id.</w:t>
      </w:r>
      <w:r>
        <w:t xml:space="preserve"> ¶ 29.) This use by defendants has negated much of the value of the screenplay, and Plaintiff has brought this action to recover</w:t>
      </w:r>
      <w:r w:rsidR="0069764D">
        <w:t xml:space="preserve"> damages</w:t>
      </w:r>
      <w:r>
        <w:t>. (</w:t>
      </w:r>
      <w:r>
        <w:rPr>
          <w:i/>
        </w:rPr>
        <w:t>Id.</w:t>
      </w:r>
      <w:r>
        <w:t xml:space="preserve"> ¶</w:t>
      </w:r>
      <w:r w:rsidR="006036E2">
        <w:t>¶</w:t>
      </w:r>
      <w:r>
        <w:t xml:space="preserve"> </w:t>
      </w:r>
      <w:r w:rsidR="006036E2">
        <w:t>34, 35</w:t>
      </w:r>
      <w:r>
        <w:t>.)</w:t>
      </w:r>
    </w:p>
    <w:p w14:paraId="68ED51A3" w14:textId="77777777" w:rsidR="006721D4" w:rsidRDefault="008820F4">
      <w:pPr>
        <w:spacing w:line="480" w:lineRule="auto"/>
        <w:ind w:firstLine="720"/>
        <w:jc w:val="center"/>
        <w:rPr>
          <w:b/>
        </w:rPr>
      </w:pPr>
      <w:r>
        <w:rPr>
          <w:b/>
        </w:rPr>
        <w:t>ARGUMENT</w:t>
      </w:r>
    </w:p>
    <w:p w14:paraId="7361C5BC" w14:textId="77777777" w:rsidR="006721D4" w:rsidRDefault="008820F4">
      <w:pPr>
        <w:spacing w:line="480" w:lineRule="auto"/>
      </w:pPr>
      <w:r>
        <w:t xml:space="preserve">The question before the court is what is required for a contractor’s work to be considered work-made-for-hire under 17 U.S.C. </w:t>
      </w:r>
      <w:r>
        <w:rPr>
          <w:szCs w:val="24"/>
        </w:rPr>
        <w:t>§</w:t>
      </w:r>
      <w:r>
        <w:t xml:space="preserve"> 101(2).  </w:t>
      </w:r>
      <w:r w:rsidR="001A47F6">
        <w:t>Specifically</w:t>
      </w:r>
      <w:r>
        <w:t xml:space="preserve">, </w:t>
      </w:r>
      <w:r w:rsidR="0069764D">
        <w:t>w</w:t>
      </w:r>
      <w:r>
        <w:t xml:space="preserve">hether the explicit agreement must be reduced to writing </w:t>
      </w:r>
      <w:r w:rsidRPr="001A47F6">
        <w:rPr>
          <w:b/>
          <w:u w:val="single"/>
        </w:rPr>
        <w:t>prior</w:t>
      </w:r>
      <w:r>
        <w:t xml:space="preserve"> to creation of the work.</w:t>
      </w:r>
    </w:p>
    <w:p w14:paraId="08EBB03E" w14:textId="77777777" w:rsidR="006721D4" w:rsidRDefault="008820F4">
      <w:pPr>
        <w:spacing w:line="480" w:lineRule="auto"/>
      </w:pPr>
      <w:r>
        <w:t>The statute defines a work-made-for-hire as:</w:t>
      </w:r>
    </w:p>
    <w:p w14:paraId="54D4E036" w14:textId="77777777" w:rsidR="006721D4" w:rsidRDefault="008820F4">
      <w:pPr>
        <w:pStyle w:val="ListParagraph"/>
        <w:widowControl/>
        <w:spacing w:before="45" w:after="240"/>
        <w:ind w:right="72"/>
        <w:rPr>
          <w:color w:val="000000"/>
          <w:szCs w:val="24"/>
        </w:rPr>
      </w:pPr>
      <w:r>
        <w:rPr>
          <w:color w:val="000000"/>
          <w:szCs w:val="24"/>
        </w:rPr>
        <w:t xml:space="preserve">a work </w:t>
      </w:r>
      <w:r>
        <w:rPr>
          <w:color w:val="000000"/>
          <w:szCs w:val="24"/>
          <w:u w:val="single"/>
        </w:rPr>
        <w:t>specially ordered or commissioned</w:t>
      </w:r>
      <w:r>
        <w:rPr>
          <w:color w:val="000000"/>
          <w:szCs w:val="24"/>
        </w:rPr>
        <w:t xml:space="preserve"> for use as a contribution to a collective work, </w:t>
      </w:r>
      <w:r>
        <w:rPr>
          <w:color w:val="000000"/>
          <w:szCs w:val="24"/>
          <w:u w:val="single"/>
        </w:rPr>
        <w:t>as a part of a motion picture</w:t>
      </w:r>
      <w:r>
        <w:rPr>
          <w:color w:val="000000"/>
          <w:szCs w:val="24"/>
        </w:rPr>
        <w:t xml:space="preserve"> or other audiovisual work, as a translation, as a supplementary work, as a compilation, as an instructional text, as a test, as answer material for a test, or as an atlas, </w:t>
      </w:r>
      <w:r>
        <w:rPr>
          <w:color w:val="000000"/>
          <w:szCs w:val="24"/>
          <w:u w:val="single"/>
        </w:rPr>
        <w:t>if the parties expressly agree in a written instrument signed by them</w:t>
      </w:r>
      <w:r>
        <w:rPr>
          <w:color w:val="000000"/>
          <w:szCs w:val="24"/>
        </w:rPr>
        <w:t xml:space="preserve"> that the work shall be considered a work made for hire (emphasis added).</w:t>
      </w:r>
    </w:p>
    <w:p w14:paraId="05AA5F79" w14:textId="77777777" w:rsidR="006721D4" w:rsidRDefault="008820F4">
      <w:pPr>
        <w:spacing w:line="480" w:lineRule="auto"/>
      </w:pPr>
      <w:r>
        <w:t xml:space="preserve">The statute requires that the work be 1) specially ordered or commissioned, 2) part of a collective work (such as a motion picture) and 3) that the parties expressly agree in a signed, written instrument.  </w:t>
      </w:r>
      <w:r w:rsidR="00D84303">
        <w:t>T</w:t>
      </w:r>
      <w:r>
        <w:t>hi</w:t>
      </w:r>
      <w:r w:rsidR="001E649D">
        <w:t>s case turns on whether an explicit oral agreement must be reduced to writing prior to the commencement of the work</w:t>
      </w:r>
      <w:r>
        <w:t xml:space="preserve">.  </w:t>
      </w:r>
    </w:p>
    <w:p w14:paraId="741D4EFD" w14:textId="77777777" w:rsidR="006721D4" w:rsidRDefault="006721D4">
      <w:pPr>
        <w:spacing w:line="480" w:lineRule="auto"/>
      </w:pPr>
    </w:p>
    <w:p w14:paraId="236C3C4B" w14:textId="77777777" w:rsidR="006721D4" w:rsidRDefault="008820F4">
      <w:pPr>
        <w:spacing w:line="480" w:lineRule="auto"/>
        <w:jc w:val="both"/>
        <w:rPr>
          <w:b/>
          <w:szCs w:val="24"/>
          <w:u w:val="single"/>
        </w:rPr>
      </w:pPr>
      <w:r>
        <w:rPr>
          <w:b/>
          <w:szCs w:val="24"/>
          <w:u w:val="single"/>
        </w:rPr>
        <w:t>The Plain Language of the Statute Does Not Require the Existence of the Writing Prior to the Creation of the Work.</w:t>
      </w:r>
    </w:p>
    <w:p w14:paraId="0A51D0CE" w14:textId="77777777" w:rsidR="00FB2F5D" w:rsidRDefault="008820F4" w:rsidP="00FB2F5D">
      <w:pPr>
        <w:spacing w:line="480" w:lineRule="auto"/>
        <w:jc w:val="both"/>
        <w:rPr>
          <w:szCs w:val="24"/>
        </w:rPr>
      </w:pPr>
      <w:r>
        <w:rPr>
          <w:szCs w:val="24"/>
        </w:rPr>
        <w:tab/>
        <w:t>The plain language of the statute is the first consideration in determination of its meaning. In the words of the U.S. Supreme Court, “[</w:t>
      </w:r>
      <w:proofErr w:type="gramStart"/>
      <w:r>
        <w:rPr>
          <w:szCs w:val="24"/>
        </w:rPr>
        <w:t>C]</w:t>
      </w:r>
      <w:proofErr w:type="spellStart"/>
      <w:r>
        <w:rPr>
          <w:szCs w:val="24"/>
        </w:rPr>
        <w:t>ourts</w:t>
      </w:r>
      <w:proofErr w:type="spellEnd"/>
      <w:proofErr w:type="gramEnd"/>
      <w:r>
        <w:rPr>
          <w:szCs w:val="24"/>
        </w:rPr>
        <w:t xml:space="preserve"> must presume that a </w:t>
      </w:r>
      <w:r>
        <w:rPr>
          <w:szCs w:val="24"/>
        </w:rPr>
        <w:lastRenderedPageBreak/>
        <w:t xml:space="preserve">legislature says in a statute what it means and means in a statute what it says there." </w:t>
      </w:r>
      <w:proofErr w:type="gramStart"/>
      <w:r>
        <w:rPr>
          <w:i/>
          <w:szCs w:val="24"/>
        </w:rPr>
        <w:t xml:space="preserve">Connecticut Nat'l Bank v. </w:t>
      </w:r>
      <w:proofErr w:type="spellStart"/>
      <w:r>
        <w:rPr>
          <w:i/>
          <w:szCs w:val="24"/>
        </w:rPr>
        <w:t>Germain</w:t>
      </w:r>
      <w:proofErr w:type="spellEnd"/>
      <w:r>
        <w:rPr>
          <w:szCs w:val="24"/>
        </w:rPr>
        <w:t>, 112 S. Ct. 1146, 1149 (1992).</w:t>
      </w:r>
      <w:proofErr w:type="gramEnd"/>
      <w:r>
        <w:rPr>
          <w:szCs w:val="24"/>
        </w:rPr>
        <w:t xml:space="preserve"> The language of the statute does not indicate a requirement for the signed writing to be completed prior to commencement or completion of the work in order for it to be a valid work-made-for-hire. There is no indication that the wording should be read so as to limit the application to </w:t>
      </w:r>
      <w:r w:rsidR="00A23ED0">
        <w:rPr>
          <w:szCs w:val="24"/>
        </w:rPr>
        <w:t xml:space="preserve">only </w:t>
      </w:r>
      <w:r>
        <w:rPr>
          <w:szCs w:val="24"/>
        </w:rPr>
        <w:t xml:space="preserve">those cases where the writing is completed prior to commencement of the work. </w:t>
      </w:r>
    </w:p>
    <w:p w14:paraId="7FC43437" w14:textId="77777777" w:rsidR="006721D4" w:rsidRDefault="008820F4" w:rsidP="008665AF">
      <w:pPr>
        <w:spacing w:line="480" w:lineRule="auto"/>
        <w:ind w:firstLine="720"/>
        <w:jc w:val="both"/>
        <w:rPr>
          <w:szCs w:val="24"/>
        </w:rPr>
      </w:pPr>
      <w:r>
        <w:rPr>
          <w:szCs w:val="24"/>
        </w:rPr>
        <w:t xml:space="preserve">The use of the word </w:t>
      </w:r>
      <w:r>
        <w:rPr>
          <w:i/>
          <w:iCs/>
          <w:szCs w:val="24"/>
        </w:rPr>
        <w:t>shall</w:t>
      </w:r>
      <w:r>
        <w:rPr>
          <w:szCs w:val="24"/>
        </w:rPr>
        <w:t xml:space="preserve"> in the statute is consistent with its</w:t>
      </w:r>
      <w:r w:rsidR="001E649D">
        <w:rPr>
          <w:szCs w:val="24"/>
        </w:rPr>
        <w:t xml:space="preserve"> typical</w:t>
      </w:r>
      <w:r>
        <w:rPr>
          <w:szCs w:val="24"/>
        </w:rPr>
        <w:t xml:space="preserve"> use as an imperative in </w:t>
      </w:r>
      <w:r w:rsidR="001E649D">
        <w:rPr>
          <w:szCs w:val="24"/>
        </w:rPr>
        <w:t xml:space="preserve">other </w:t>
      </w:r>
      <w:r>
        <w:rPr>
          <w:szCs w:val="24"/>
        </w:rPr>
        <w:t>statutes</w:t>
      </w:r>
      <w:r w:rsidR="001E649D">
        <w:rPr>
          <w:szCs w:val="24"/>
        </w:rPr>
        <w:t xml:space="preserve"> </w:t>
      </w:r>
      <w:r w:rsidR="001E649D" w:rsidRPr="00E2242F">
        <w:rPr>
          <w:szCs w:val="24"/>
          <w:u w:val="single"/>
        </w:rPr>
        <w:t>Black's Law Dictionary</w:t>
      </w:r>
      <w:r w:rsidR="001E649D" w:rsidRPr="001E649D">
        <w:rPr>
          <w:szCs w:val="24"/>
        </w:rPr>
        <w:t xml:space="preserve"> (9th ed. 2009), shall</w:t>
      </w:r>
      <w:r>
        <w:rPr>
          <w:szCs w:val="24"/>
        </w:rPr>
        <w:t>.</w:t>
      </w:r>
      <w:r w:rsidR="00FC4E03">
        <w:rPr>
          <w:szCs w:val="24"/>
        </w:rPr>
        <w:t xml:space="preserve">  </w:t>
      </w:r>
      <w:r w:rsidR="00FB2F5D">
        <w:rPr>
          <w:szCs w:val="24"/>
        </w:rPr>
        <w:t xml:space="preserve">In this context </w:t>
      </w:r>
      <w:r w:rsidR="00FB2F5D" w:rsidRPr="00FB2F5D">
        <w:rPr>
          <w:i/>
          <w:szCs w:val="24"/>
        </w:rPr>
        <w:t>shall</w:t>
      </w:r>
      <w:r w:rsidR="00FB2F5D">
        <w:rPr>
          <w:szCs w:val="24"/>
        </w:rPr>
        <w:t xml:space="preserve"> </w:t>
      </w:r>
      <w:proofErr w:type="gramStart"/>
      <w:r w:rsidR="00FB2F5D">
        <w:rPr>
          <w:szCs w:val="24"/>
        </w:rPr>
        <w:t>does</w:t>
      </w:r>
      <w:proofErr w:type="gramEnd"/>
      <w:r w:rsidR="00FB2F5D">
        <w:rPr>
          <w:szCs w:val="24"/>
        </w:rPr>
        <w:t xml:space="preserve"> not include a temporal component.  </w:t>
      </w:r>
      <w:r w:rsidR="00FC4E03">
        <w:rPr>
          <w:szCs w:val="24"/>
        </w:rPr>
        <w:t xml:space="preserve">Similarly, the copyright office in their publication on works made for hire </w:t>
      </w:r>
      <w:r w:rsidR="008665AF">
        <w:rPr>
          <w:szCs w:val="24"/>
        </w:rPr>
        <w:t>restates the la</w:t>
      </w:r>
      <w:r w:rsidR="00A23ED0">
        <w:rPr>
          <w:szCs w:val="24"/>
        </w:rPr>
        <w:t xml:space="preserve">w </w:t>
      </w:r>
      <w:r w:rsidR="00FB2F5D">
        <w:rPr>
          <w:szCs w:val="24"/>
        </w:rPr>
        <w:t>as follows</w:t>
      </w:r>
      <w:r w:rsidR="008665AF">
        <w:rPr>
          <w:szCs w:val="24"/>
        </w:rPr>
        <w:t xml:space="preserve"> “</w:t>
      </w:r>
      <w:r w:rsidR="008665AF" w:rsidRPr="008665AF">
        <w:rPr>
          <w:szCs w:val="24"/>
        </w:rPr>
        <w:t>there is a written agreement between the parties</w:t>
      </w:r>
      <w:r w:rsidR="008665AF">
        <w:rPr>
          <w:szCs w:val="24"/>
        </w:rPr>
        <w:t xml:space="preserve"> </w:t>
      </w:r>
      <w:r w:rsidR="008665AF" w:rsidRPr="008665AF">
        <w:rPr>
          <w:szCs w:val="24"/>
        </w:rPr>
        <w:t>specifying that the work is a work made for hire</w:t>
      </w:r>
      <w:r w:rsidR="00FC4E03">
        <w:rPr>
          <w:szCs w:val="24"/>
        </w:rPr>
        <w:t>.</w:t>
      </w:r>
      <w:r w:rsidR="008665AF">
        <w:rPr>
          <w:szCs w:val="24"/>
        </w:rPr>
        <w:t>”</w:t>
      </w:r>
      <w:r w:rsidR="00FC4E03">
        <w:rPr>
          <w:szCs w:val="24"/>
        </w:rPr>
        <w:t xml:space="preserve"> Copyright Office, </w:t>
      </w:r>
      <w:r w:rsidR="00FC4E03" w:rsidRPr="00FC4E03">
        <w:rPr>
          <w:i/>
          <w:szCs w:val="24"/>
        </w:rPr>
        <w:t>Works Made for Hire Under the 1976 Copyright Act</w:t>
      </w:r>
      <w:r w:rsidR="00FC4E03">
        <w:rPr>
          <w:szCs w:val="24"/>
        </w:rPr>
        <w:t xml:space="preserve">, (20 Mar 2012), </w:t>
      </w:r>
      <w:hyperlink r:id="rId6" w:history="1">
        <w:r w:rsidR="00FC4E03" w:rsidRPr="00C96389">
          <w:rPr>
            <w:rStyle w:val="Hyperlink"/>
            <w:szCs w:val="24"/>
          </w:rPr>
          <w:t>http://www.copyright.gov/circs/circ09.pdf</w:t>
        </w:r>
      </w:hyperlink>
      <w:r w:rsidR="00FC4E03">
        <w:rPr>
          <w:szCs w:val="24"/>
        </w:rPr>
        <w:t xml:space="preserve"> </w:t>
      </w:r>
      <w:r>
        <w:rPr>
          <w:szCs w:val="24"/>
        </w:rPr>
        <w:t xml:space="preserve">  </w:t>
      </w:r>
    </w:p>
    <w:p w14:paraId="251429D4" w14:textId="77777777" w:rsidR="006721D4" w:rsidRDefault="008820F4">
      <w:pPr>
        <w:spacing w:line="480" w:lineRule="auto"/>
        <w:ind w:firstLine="720"/>
        <w:jc w:val="both"/>
        <w:rPr>
          <w:szCs w:val="24"/>
        </w:rPr>
      </w:pPr>
      <w:r>
        <w:rPr>
          <w:szCs w:val="24"/>
        </w:rPr>
        <w:t xml:space="preserve">The defendants also argue that the copyright must vest with some entity at the moment of creation and cannot </w:t>
      </w:r>
      <w:r w:rsidR="00FB2F5D">
        <w:rPr>
          <w:szCs w:val="24"/>
        </w:rPr>
        <w:t xml:space="preserve">then </w:t>
      </w:r>
      <w:r>
        <w:rPr>
          <w:szCs w:val="24"/>
        </w:rPr>
        <w:t>be transferred to another entity.  However, under the current practice of the copyright office, while the copyright technically vests in the moment of creation, no actionable right is created until the copyright is registered with the copyright office</w:t>
      </w:r>
      <w:r w:rsidR="00FB2F5D">
        <w:rPr>
          <w:szCs w:val="24"/>
        </w:rPr>
        <w:t>.</w:t>
      </w:r>
      <w:r w:rsidR="00E2242F">
        <w:rPr>
          <w:szCs w:val="24"/>
        </w:rPr>
        <w:t xml:space="preserve"> </w:t>
      </w:r>
      <w:r w:rsidR="00D84303">
        <w:rPr>
          <w:szCs w:val="24"/>
        </w:rPr>
        <w:t>17 U.S.C. § 410 (2006).</w:t>
      </w:r>
      <w:r>
        <w:rPr>
          <w:szCs w:val="24"/>
        </w:rPr>
        <w:t xml:space="preserve">  If an artist signs a work for hire agreement and then registers the work as a copyrighted work and not a work-made-for-hire, the practical significance is that the commissioning party will not have </w:t>
      </w:r>
      <w:r w:rsidR="00FB2F5D">
        <w:rPr>
          <w:szCs w:val="24"/>
        </w:rPr>
        <w:t>authorship of</w:t>
      </w:r>
      <w:r>
        <w:rPr>
          <w:szCs w:val="24"/>
        </w:rPr>
        <w:t xml:space="preserve"> that work</w:t>
      </w:r>
      <w:r w:rsidR="0006743E">
        <w:rPr>
          <w:szCs w:val="24"/>
        </w:rPr>
        <w:t xml:space="preserve">.  </w:t>
      </w:r>
      <w:r>
        <w:rPr>
          <w:szCs w:val="24"/>
        </w:rPr>
        <w:t>Only when the work</w:t>
      </w:r>
      <w:r w:rsidR="008665AF">
        <w:rPr>
          <w:szCs w:val="24"/>
        </w:rPr>
        <w:t xml:space="preserve"> is identified</w:t>
      </w:r>
      <w:r>
        <w:rPr>
          <w:szCs w:val="24"/>
        </w:rPr>
        <w:t xml:space="preserve"> as a work-made-for-hire in a submission to the copyright office does </w:t>
      </w:r>
      <w:r w:rsidR="00A23ED0">
        <w:rPr>
          <w:szCs w:val="24"/>
        </w:rPr>
        <w:t xml:space="preserve">an </w:t>
      </w:r>
      <w:r w:rsidR="00D84303">
        <w:rPr>
          <w:szCs w:val="24"/>
        </w:rPr>
        <w:t>enforceable</w:t>
      </w:r>
      <w:r>
        <w:rPr>
          <w:szCs w:val="24"/>
        </w:rPr>
        <w:t xml:space="preserve"> copyright</w:t>
      </w:r>
      <w:r w:rsidR="00FC4E03">
        <w:rPr>
          <w:szCs w:val="24"/>
        </w:rPr>
        <w:t xml:space="preserve"> actually</w:t>
      </w:r>
      <w:r>
        <w:rPr>
          <w:szCs w:val="24"/>
        </w:rPr>
        <w:t xml:space="preserve"> vest with the commissioning party</w:t>
      </w:r>
      <w:r w:rsidR="00FC4E03">
        <w:rPr>
          <w:szCs w:val="24"/>
        </w:rPr>
        <w:t xml:space="preserve"> </w:t>
      </w:r>
      <w:r w:rsidR="00D84303" w:rsidRPr="00D84303">
        <w:rPr>
          <w:i/>
          <w:szCs w:val="24"/>
        </w:rPr>
        <w:t>Id</w:t>
      </w:r>
      <w:r>
        <w:rPr>
          <w:szCs w:val="24"/>
        </w:rPr>
        <w:t xml:space="preserve">.  </w:t>
      </w:r>
      <w:r w:rsidR="00C12AF1">
        <w:rPr>
          <w:szCs w:val="24"/>
        </w:rPr>
        <w:t>Practically</w:t>
      </w:r>
      <w:r>
        <w:rPr>
          <w:szCs w:val="24"/>
        </w:rPr>
        <w:t xml:space="preserve">, this is a non-issue and only </w:t>
      </w:r>
      <w:r w:rsidR="00790B4C">
        <w:rPr>
          <w:szCs w:val="24"/>
        </w:rPr>
        <w:t>arises</w:t>
      </w:r>
      <w:r>
        <w:rPr>
          <w:szCs w:val="24"/>
        </w:rPr>
        <w:t xml:space="preserve"> when a</w:t>
      </w:r>
      <w:r w:rsidR="00790B4C">
        <w:rPr>
          <w:szCs w:val="24"/>
        </w:rPr>
        <w:t xml:space="preserve"> creator </w:t>
      </w:r>
      <w:r w:rsidR="00FB2F5D">
        <w:rPr>
          <w:szCs w:val="24"/>
        </w:rPr>
        <w:t xml:space="preserve">attempts to </w:t>
      </w:r>
      <w:r>
        <w:rPr>
          <w:szCs w:val="24"/>
        </w:rPr>
        <w:lastRenderedPageBreak/>
        <w:t xml:space="preserve">defraud </w:t>
      </w:r>
      <w:r w:rsidR="00790B4C">
        <w:rPr>
          <w:szCs w:val="24"/>
        </w:rPr>
        <w:t>the</w:t>
      </w:r>
      <w:r>
        <w:rPr>
          <w:szCs w:val="24"/>
        </w:rPr>
        <w:t xml:space="preserve"> commissioning par</w:t>
      </w:r>
      <w:r w:rsidR="00790B4C">
        <w:rPr>
          <w:szCs w:val="24"/>
        </w:rPr>
        <w:t>ty of their right of authorship.</w:t>
      </w:r>
    </w:p>
    <w:p w14:paraId="119569A2" w14:textId="77777777" w:rsidR="00790B4C" w:rsidRDefault="00790B4C">
      <w:pPr>
        <w:spacing w:line="480" w:lineRule="auto"/>
        <w:ind w:firstLine="720"/>
        <w:jc w:val="both"/>
        <w:rPr>
          <w:szCs w:val="24"/>
        </w:rPr>
      </w:pPr>
    </w:p>
    <w:p w14:paraId="2C02277F" w14:textId="77777777" w:rsidR="006721D4" w:rsidRDefault="008820F4">
      <w:pPr>
        <w:widowControl/>
        <w:spacing w:before="45" w:after="240"/>
        <w:ind w:right="72"/>
        <w:rPr>
          <w:b/>
          <w:color w:val="000000"/>
          <w:szCs w:val="24"/>
        </w:rPr>
      </w:pPr>
      <w:r>
        <w:rPr>
          <w:b/>
          <w:color w:val="000000"/>
          <w:szCs w:val="24"/>
        </w:rPr>
        <w:t>The History of the Work-for-Hire Doctrine Compels a Minimalist Reading of the Statute</w:t>
      </w:r>
    </w:p>
    <w:p w14:paraId="69B1FD17" w14:textId="77777777" w:rsidR="006721D4" w:rsidRDefault="008820F4">
      <w:pPr>
        <w:widowControl/>
        <w:spacing w:line="480" w:lineRule="auto"/>
        <w:ind w:firstLine="720"/>
      </w:pPr>
      <w:r>
        <w:t xml:space="preserve">Work for hire is a doctrine found in the Copyright Act of 1909, which states that the employer is the owner of the copyright of a work produced by persons in his or her employ. </w:t>
      </w:r>
      <w:r w:rsidR="00E2242F">
        <w:t xml:space="preserve">Robert </w:t>
      </w:r>
      <w:proofErr w:type="spellStart"/>
      <w:r w:rsidR="00E2242F">
        <w:t>Penchina</w:t>
      </w:r>
      <w:proofErr w:type="spellEnd"/>
      <w:r w:rsidR="00E2242F">
        <w:t xml:space="preserve">, Note, </w:t>
      </w:r>
      <w:r w:rsidR="00E2242F" w:rsidRPr="00E2242F">
        <w:rPr>
          <w:i/>
        </w:rPr>
        <w:t xml:space="preserve">The Creative Commissioner: Commissioned Works Under the Copyright Act of 1976, </w:t>
      </w:r>
      <w:r w:rsidR="00E2242F" w:rsidRPr="00E2242F">
        <w:t>NYULR 373</w:t>
      </w:r>
      <w:r w:rsidR="00E2242F">
        <w:t xml:space="preserve">, 379 (1987) </w:t>
      </w:r>
      <w:r>
        <w:t>Court decisions made clear that this included employees, agents, and eventually contracted freelance persons</w:t>
      </w:r>
      <w:r w:rsidR="00E2242F">
        <w:t xml:space="preserve"> </w:t>
      </w:r>
      <w:r w:rsidR="00E2242F" w:rsidRPr="00E2242F">
        <w:rPr>
          <w:i/>
        </w:rPr>
        <w:t>id</w:t>
      </w:r>
      <w:r>
        <w:t xml:space="preserve">. </w:t>
      </w:r>
      <w:r>
        <w:rPr>
          <w:color w:val="000000"/>
        </w:rPr>
        <w:t xml:space="preserve">As explained by the court in </w:t>
      </w:r>
      <w:r>
        <w:rPr>
          <w:bCs/>
          <w:i/>
          <w:color w:val="000000"/>
          <w:kern w:val="1"/>
        </w:rPr>
        <w:t xml:space="preserve">Dumas v. </w:t>
      </w:r>
      <w:proofErr w:type="spellStart"/>
      <w:r>
        <w:rPr>
          <w:bCs/>
          <w:i/>
          <w:color w:val="000000"/>
          <w:kern w:val="1"/>
        </w:rPr>
        <w:t>Gommerman</w:t>
      </w:r>
      <w:proofErr w:type="spellEnd"/>
      <w:r>
        <w:rPr>
          <w:bCs/>
          <w:color w:val="000000"/>
          <w:kern w:val="1"/>
        </w:rPr>
        <w:t>,</w:t>
      </w:r>
      <w:r>
        <w:rPr>
          <w:b/>
          <w:bCs/>
          <w:color w:val="000000"/>
          <w:kern w:val="1"/>
        </w:rPr>
        <w:t xml:space="preserve"> </w:t>
      </w:r>
      <w:r>
        <w:rPr>
          <w:color w:val="000000"/>
          <w:kern w:val="1"/>
        </w:rPr>
        <w:t xml:space="preserve">865 F.2d 1093 (Cal. 1989), the ownership of the copyright was determined by the “instance and expense test.” </w:t>
      </w:r>
      <w:r>
        <w:t xml:space="preserve">The breadth of this doctrine was </w:t>
      </w:r>
      <w:r w:rsidRPr="00C12AF1">
        <w:t>viewed as highly</w:t>
      </w:r>
      <w:r>
        <w:t xml:space="preserve"> unfavorable to creators and as a result Congress change</w:t>
      </w:r>
      <w:r w:rsidR="00E2242F">
        <w:t>d</w:t>
      </w:r>
      <w:r>
        <w:t xml:space="preserve"> the default assignment of copyright in the Copyright Act of 1976</w:t>
      </w:r>
      <w:r w:rsidR="00A06811">
        <w:t xml:space="preserve"> </w:t>
      </w:r>
      <w:proofErr w:type="spellStart"/>
      <w:r w:rsidR="00A06811">
        <w:t>Penchina</w:t>
      </w:r>
      <w:proofErr w:type="spellEnd"/>
      <w:r w:rsidR="00A06811">
        <w:t xml:space="preserve">, </w:t>
      </w:r>
      <w:r w:rsidR="00A06811" w:rsidRPr="00A06811">
        <w:rPr>
          <w:i/>
        </w:rPr>
        <w:t>supra</w:t>
      </w:r>
      <w:r w:rsidR="00A06811">
        <w:t>, at 381</w:t>
      </w:r>
      <w:r>
        <w:t xml:space="preserve">. Previously, a creator could assign </w:t>
      </w:r>
      <w:r w:rsidR="006D130A">
        <w:t xml:space="preserve">away </w:t>
      </w:r>
      <w:r>
        <w:t>all rights</w:t>
      </w:r>
      <w:r w:rsidR="006D130A">
        <w:t xml:space="preserve"> to copyrighted material</w:t>
      </w:r>
      <w:r>
        <w:t xml:space="preserve"> at any time</w:t>
      </w:r>
      <w:r w:rsidR="006D130A">
        <w:t>,</w:t>
      </w:r>
      <w:r>
        <w:t xml:space="preserve"> to any person</w:t>
      </w:r>
      <w:r w:rsidRPr="008C7DDC">
        <w:t>.</w:t>
      </w:r>
      <w:r>
        <w:t xml:space="preserve">  This was viewed as unfair to authors who had created great works but assigned the rights to others in exchange for </w:t>
      </w:r>
      <w:r w:rsidR="00FB2F5D">
        <w:t xml:space="preserve">upfront </w:t>
      </w:r>
      <w:r>
        <w:t>paymen</w:t>
      </w:r>
      <w:r w:rsidR="00A06811">
        <w:t>t</w:t>
      </w:r>
      <w:r w:rsidR="0006743E">
        <w:t xml:space="preserve"> </w:t>
      </w:r>
      <w:r w:rsidR="006D130A" w:rsidRPr="006D130A">
        <w:rPr>
          <w:i/>
        </w:rPr>
        <w:t>Id.</w:t>
      </w:r>
      <w:r w:rsidR="00A06811">
        <w:t xml:space="preserve"> at 375</w:t>
      </w:r>
      <w:r>
        <w:t xml:space="preserve">. Congress added a reversion right in </w:t>
      </w:r>
      <w:r>
        <w:rPr>
          <w:szCs w:val="24"/>
        </w:rPr>
        <w:t>§</w:t>
      </w:r>
      <w:r>
        <w:t xml:space="preserve"> 203 for transferred copyrights but </w:t>
      </w:r>
      <w:r w:rsidR="00FB2F5D">
        <w:t>this does not apply to</w:t>
      </w:r>
      <w:r>
        <w:t xml:space="preserve"> works made for hire, </w:t>
      </w:r>
      <w:r w:rsidR="00FB2F5D">
        <w:t>as</w:t>
      </w:r>
      <w:r>
        <w:t xml:space="preserve"> the patron was the author. The initial formulations of the bill included this reversion for all copyrighted materials</w:t>
      </w:r>
      <w:r w:rsidR="00A06811">
        <w:t>.</w:t>
      </w:r>
      <w:r w:rsidR="0006743E">
        <w:t xml:space="preserve"> </w:t>
      </w:r>
      <w:r w:rsidR="00A06811" w:rsidRPr="00A06811">
        <w:t xml:space="preserve"> Register of Copyrights, 89th Cong., 1st Sess., </w:t>
      </w:r>
      <w:r w:rsidR="00A06811" w:rsidRPr="00A06811">
        <w:rPr>
          <w:i/>
        </w:rPr>
        <w:t>Supplementary Report of the Register of Copyrights on the General Revision of the United States Copyright Law: 1965 Revision Bill</w:t>
      </w:r>
      <w:r w:rsidR="00A06811" w:rsidRPr="00A06811">
        <w:t xml:space="preserve"> 66 (Comm. Print 1965)</w:t>
      </w:r>
      <w:r w:rsidR="00A06811">
        <w:t xml:space="preserve"> </w:t>
      </w:r>
      <w:r>
        <w:t>However, creators of collective works and the other categories in section 101(2), argued that this treatment was overly broad and should not apply to those categories of works</w:t>
      </w:r>
      <w:r w:rsidR="0006743E">
        <w:t xml:space="preserve"> (</w:t>
      </w:r>
      <w:r w:rsidR="00A06811">
        <w:rPr>
          <w:i/>
        </w:rPr>
        <w:t>I</w:t>
      </w:r>
      <w:r w:rsidR="0006743E" w:rsidRPr="0006743E">
        <w:rPr>
          <w:i/>
        </w:rPr>
        <w:t>d</w:t>
      </w:r>
      <w:r w:rsidR="00A06811">
        <w:rPr>
          <w:i/>
        </w:rPr>
        <w:t>.</w:t>
      </w:r>
      <w:r w:rsidR="00A06811">
        <w:t xml:space="preserve"> at 67</w:t>
      </w:r>
      <w:r w:rsidR="0006743E">
        <w:t>)</w:t>
      </w:r>
      <w:r>
        <w:t xml:space="preserve">.  “It was argued that the same legal and policy considerations dictating special </w:t>
      </w:r>
      <w:r>
        <w:lastRenderedPageBreak/>
        <w:t xml:space="preserve">treatment of ''works made for hire'' apply to these works and that, in particular, it would be unfair in these cases to allow authors to terminate assignments of rights under section 203.” </w:t>
      </w:r>
      <w:r w:rsidR="00A06811">
        <w:rPr>
          <w:i/>
        </w:rPr>
        <w:t>I</w:t>
      </w:r>
      <w:r w:rsidR="0006743E" w:rsidRPr="0006743E">
        <w:rPr>
          <w:i/>
        </w:rPr>
        <w:t>d</w:t>
      </w:r>
      <w:r w:rsidR="00A06811">
        <w:rPr>
          <w:i/>
        </w:rPr>
        <w:t>.</w:t>
      </w:r>
      <w:r>
        <w:t xml:space="preserve"> </w:t>
      </w:r>
    </w:p>
    <w:p w14:paraId="6C473FE8" w14:textId="77777777" w:rsidR="006721D4" w:rsidRDefault="008820F4" w:rsidP="00C10BA1">
      <w:pPr>
        <w:spacing w:line="480" w:lineRule="auto"/>
        <w:ind w:firstLine="720"/>
        <w:jc w:val="both"/>
        <w:rPr>
          <w:szCs w:val="24"/>
        </w:rPr>
      </w:pPr>
      <w:r>
        <w:rPr>
          <w:szCs w:val="24"/>
        </w:rPr>
        <w:t xml:space="preserve">The resulting compromise instituted in the Copyright act of 1976, placed the following rule in place: In the absence of an employment contract or a written document establishing the work as a work-for-hire, the creator is the author of the copyright. </w:t>
      </w:r>
      <w:r w:rsidR="0006743E">
        <w:rPr>
          <w:szCs w:val="24"/>
        </w:rPr>
        <w:t xml:space="preserve">Am. </w:t>
      </w:r>
      <w:proofErr w:type="spellStart"/>
      <w:r w:rsidR="0006743E">
        <w:rPr>
          <w:szCs w:val="24"/>
        </w:rPr>
        <w:t>Jur</w:t>
      </w:r>
      <w:proofErr w:type="spellEnd"/>
      <w:r w:rsidR="0006743E">
        <w:rPr>
          <w:szCs w:val="24"/>
        </w:rPr>
        <w:t xml:space="preserve">. 2d </w:t>
      </w:r>
      <w:r w:rsidR="0006743E" w:rsidRPr="0006743E">
        <w:rPr>
          <w:i/>
          <w:szCs w:val="24"/>
        </w:rPr>
        <w:t>Copyright</w:t>
      </w:r>
      <w:r w:rsidR="0006743E" w:rsidRPr="0006743E">
        <w:rPr>
          <w:szCs w:val="24"/>
        </w:rPr>
        <w:t xml:space="preserve"> § 63</w:t>
      </w:r>
      <w:r w:rsidR="0006743E">
        <w:rPr>
          <w:szCs w:val="24"/>
        </w:rPr>
        <w:t xml:space="preserve"> (2012) A</w:t>
      </w:r>
      <w:r>
        <w:rPr>
          <w:szCs w:val="24"/>
        </w:rPr>
        <w:t>uthorship transfers</w:t>
      </w:r>
      <w:r w:rsidR="0006743E">
        <w:rPr>
          <w:szCs w:val="24"/>
        </w:rPr>
        <w:t xml:space="preserve"> under work-for-hire</w:t>
      </w:r>
      <w:r>
        <w:rPr>
          <w:szCs w:val="24"/>
        </w:rPr>
        <w:t xml:space="preserve"> were allowed for limited types of works, such as collective works</w:t>
      </w:r>
      <w:r w:rsidR="00A06811">
        <w:rPr>
          <w:szCs w:val="24"/>
        </w:rPr>
        <w:t xml:space="preserve"> </w:t>
      </w:r>
      <w:r w:rsidR="00A06811" w:rsidRPr="00A06811">
        <w:rPr>
          <w:i/>
          <w:szCs w:val="24"/>
        </w:rPr>
        <w:t>id.</w:t>
      </w:r>
      <w:r>
        <w:rPr>
          <w:szCs w:val="24"/>
        </w:rPr>
        <w:t xml:space="preserve">, where it was essential to have the compilation works unencumbered by </w:t>
      </w:r>
      <w:proofErr w:type="spellStart"/>
      <w:r>
        <w:rPr>
          <w:szCs w:val="24"/>
        </w:rPr>
        <w:t>reverter</w:t>
      </w:r>
      <w:proofErr w:type="spellEnd"/>
      <w:r>
        <w:rPr>
          <w:szCs w:val="24"/>
        </w:rPr>
        <w:t xml:space="preserve"> rights. This place</w:t>
      </w:r>
      <w:r w:rsidR="0006743E">
        <w:rPr>
          <w:szCs w:val="24"/>
        </w:rPr>
        <w:t>s</w:t>
      </w:r>
      <w:r>
        <w:rPr>
          <w:szCs w:val="24"/>
        </w:rPr>
        <w:t xml:space="preserve"> the burden of proof on the commissioning party, who presumably has the power and interest in preserving ownership of the commissioned product, to negotiate and obtain the signed writing. The requirement for a signed writing was intended by Congress to simplify the question of who owned the copyright. </w:t>
      </w:r>
      <w:r w:rsidR="00D73E71">
        <w:rPr>
          <w:szCs w:val="24"/>
        </w:rPr>
        <w:t xml:space="preserve">Am. </w:t>
      </w:r>
      <w:proofErr w:type="spellStart"/>
      <w:r w:rsidR="00D73E71">
        <w:rPr>
          <w:szCs w:val="24"/>
        </w:rPr>
        <w:t>Jur</w:t>
      </w:r>
      <w:proofErr w:type="spellEnd"/>
      <w:r w:rsidR="00D73E71">
        <w:rPr>
          <w:szCs w:val="24"/>
        </w:rPr>
        <w:t xml:space="preserve">. </w:t>
      </w:r>
      <w:proofErr w:type="gramStart"/>
      <w:r w:rsidR="00D73E71">
        <w:rPr>
          <w:szCs w:val="24"/>
        </w:rPr>
        <w:t xml:space="preserve">2d </w:t>
      </w:r>
      <w:r w:rsidR="00D73E71" w:rsidRPr="00D73E71">
        <w:rPr>
          <w:i/>
          <w:szCs w:val="24"/>
        </w:rPr>
        <w:t>Copyrights</w:t>
      </w:r>
      <w:r w:rsidR="00D73E71">
        <w:rPr>
          <w:szCs w:val="24"/>
        </w:rPr>
        <w:t xml:space="preserve"> § 63</w:t>
      </w:r>
      <w:r>
        <w:rPr>
          <w:szCs w:val="24"/>
        </w:rPr>
        <w:t xml:space="preserve"> </w:t>
      </w:r>
      <w:r w:rsidR="00D73E71">
        <w:rPr>
          <w:szCs w:val="24"/>
        </w:rPr>
        <w:t>(2012).</w:t>
      </w:r>
      <w:proofErr w:type="gramEnd"/>
      <w:r>
        <w:rPr>
          <w:szCs w:val="24"/>
        </w:rPr>
        <w:t xml:space="preserve"> Transfers of rights without a writing</w:t>
      </w:r>
      <w:r w:rsidR="00C10BA1">
        <w:rPr>
          <w:szCs w:val="24"/>
        </w:rPr>
        <w:t xml:space="preserve"> are not valid and</w:t>
      </w:r>
      <w:r>
        <w:rPr>
          <w:szCs w:val="24"/>
        </w:rPr>
        <w:t xml:space="preserve"> do not prevent successful claims of infringement. </w:t>
      </w:r>
      <w:r w:rsidR="00C10BA1">
        <w:rPr>
          <w:szCs w:val="24"/>
        </w:rPr>
        <w:t xml:space="preserve">17 U.S.C. </w:t>
      </w:r>
      <w:r w:rsidR="00C10BA1" w:rsidRPr="00C10BA1">
        <w:rPr>
          <w:szCs w:val="24"/>
        </w:rPr>
        <w:t>§ 204(a)</w:t>
      </w:r>
      <w:r w:rsidR="00C10BA1">
        <w:rPr>
          <w:szCs w:val="24"/>
        </w:rPr>
        <w:t xml:space="preserve"> (2006).</w:t>
      </w:r>
    </w:p>
    <w:p w14:paraId="046B9E59" w14:textId="77777777" w:rsidR="006721D4" w:rsidRDefault="008820F4">
      <w:pPr>
        <w:widowControl/>
        <w:spacing w:before="45" w:after="240" w:line="480" w:lineRule="auto"/>
        <w:ind w:right="72"/>
        <w:rPr>
          <w:color w:val="000000"/>
          <w:szCs w:val="24"/>
        </w:rPr>
      </w:pPr>
      <w:r>
        <w:rPr>
          <w:color w:val="000000"/>
          <w:szCs w:val="24"/>
        </w:rPr>
        <w:tab/>
        <w:t>In the present case, if Lime had not signed the document recognizing Plaintiff’s ownership of the copyright, then Lime would not have surrendered the copyright</w:t>
      </w:r>
      <w:r w:rsidR="00F80D51">
        <w:rPr>
          <w:color w:val="000000"/>
          <w:szCs w:val="24"/>
        </w:rPr>
        <w:t xml:space="preserve"> to the screenplay</w:t>
      </w:r>
      <w:r>
        <w:rPr>
          <w:color w:val="000000"/>
          <w:szCs w:val="24"/>
        </w:rPr>
        <w:t xml:space="preserve">, despite the verbal agreement between the parties.  Indeed until Lime signed the work-for-hire agreement and </w:t>
      </w:r>
      <w:r w:rsidR="00A06811">
        <w:rPr>
          <w:color w:val="000000"/>
          <w:szCs w:val="24"/>
        </w:rPr>
        <w:t>delivered</w:t>
      </w:r>
      <w:r>
        <w:rPr>
          <w:color w:val="000000"/>
          <w:szCs w:val="24"/>
        </w:rPr>
        <w:t xml:space="preserve"> the work, she retained complete control over the </w:t>
      </w:r>
      <w:r w:rsidR="00146A72">
        <w:rPr>
          <w:color w:val="000000"/>
          <w:szCs w:val="24"/>
        </w:rPr>
        <w:t>created screenplay</w:t>
      </w:r>
      <w:r>
        <w:rPr>
          <w:color w:val="000000"/>
          <w:szCs w:val="24"/>
        </w:rPr>
        <w:t xml:space="preserve"> and was free to prepare for the Plaintiff an</w:t>
      </w:r>
      <w:r w:rsidR="00F80D51">
        <w:rPr>
          <w:color w:val="000000"/>
          <w:szCs w:val="24"/>
        </w:rPr>
        <w:t xml:space="preserve"> </w:t>
      </w:r>
      <w:r>
        <w:rPr>
          <w:color w:val="000000"/>
          <w:szCs w:val="24"/>
        </w:rPr>
        <w:t>alternative screenplay</w:t>
      </w:r>
      <w:r w:rsidR="00146A72">
        <w:rPr>
          <w:color w:val="000000"/>
          <w:szCs w:val="24"/>
        </w:rPr>
        <w:t xml:space="preserve"> if she wished to retain ownership of the screenplay in question</w:t>
      </w:r>
      <w:r>
        <w:rPr>
          <w:color w:val="000000"/>
          <w:szCs w:val="24"/>
        </w:rPr>
        <w:t>. However</w:t>
      </w:r>
      <w:r w:rsidR="00F80D51">
        <w:rPr>
          <w:color w:val="000000"/>
          <w:szCs w:val="24"/>
        </w:rPr>
        <w:t>,</w:t>
      </w:r>
      <w:r>
        <w:rPr>
          <w:color w:val="000000"/>
          <w:szCs w:val="24"/>
        </w:rPr>
        <w:t xml:space="preserve"> without </w:t>
      </w:r>
      <w:r w:rsidR="00C12AF1" w:rsidRPr="00C12AF1">
        <w:rPr>
          <w:color w:val="000000"/>
          <w:szCs w:val="24"/>
        </w:rPr>
        <w:t>delivery</w:t>
      </w:r>
      <w:r w:rsidR="00F80D51">
        <w:rPr>
          <w:color w:val="000000"/>
          <w:szCs w:val="24"/>
        </w:rPr>
        <w:t xml:space="preserve"> of the screenplay and the copyright (including authorship)</w:t>
      </w:r>
      <w:r>
        <w:rPr>
          <w:color w:val="000000"/>
          <w:szCs w:val="24"/>
        </w:rPr>
        <w:t xml:space="preserve">, Lime would also not have gotten paid the $6000 she accepted. </w:t>
      </w:r>
      <w:r w:rsidR="00146A72">
        <w:rPr>
          <w:color w:val="000000"/>
          <w:szCs w:val="24"/>
        </w:rPr>
        <w:t xml:space="preserve">Instead, </w:t>
      </w:r>
      <w:r>
        <w:rPr>
          <w:color w:val="000000"/>
          <w:szCs w:val="24"/>
        </w:rPr>
        <w:t xml:space="preserve">Lime took the money and </w:t>
      </w:r>
      <w:r>
        <w:rPr>
          <w:color w:val="000000"/>
          <w:szCs w:val="24"/>
        </w:rPr>
        <w:lastRenderedPageBreak/>
        <w:t xml:space="preserve">subsequently claimed not to have transferred the copyright </w:t>
      </w:r>
      <w:r w:rsidR="00F80D51">
        <w:rPr>
          <w:color w:val="000000"/>
          <w:szCs w:val="24"/>
        </w:rPr>
        <w:t>despite</w:t>
      </w:r>
      <w:r w:rsidR="00146A72">
        <w:rPr>
          <w:color w:val="000000"/>
          <w:szCs w:val="24"/>
        </w:rPr>
        <w:t xml:space="preserve"> the</w:t>
      </w:r>
      <w:r>
        <w:rPr>
          <w:color w:val="000000"/>
          <w:szCs w:val="24"/>
        </w:rPr>
        <w:t xml:space="preserve"> contract she signed. Based on the law and the signed </w:t>
      </w:r>
      <w:r w:rsidR="00F80D51">
        <w:rPr>
          <w:color w:val="000000"/>
          <w:szCs w:val="24"/>
        </w:rPr>
        <w:t>contract</w:t>
      </w:r>
      <w:r>
        <w:rPr>
          <w:color w:val="000000"/>
          <w:szCs w:val="24"/>
        </w:rPr>
        <w:t xml:space="preserve">, the court must find Lime’s actions transferred copyright of the script to the Plaintiff.   </w:t>
      </w:r>
    </w:p>
    <w:p w14:paraId="2FA66193" w14:textId="77777777" w:rsidR="006721D4" w:rsidRDefault="008820F4">
      <w:pPr>
        <w:widowControl/>
        <w:spacing w:before="45" w:after="45" w:line="480" w:lineRule="auto"/>
        <w:ind w:right="75"/>
        <w:rPr>
          <w:b/>
          <w:color w:val="000000"/>
          <w:szCs w:val="24"/>
        </w:rPr>
      </w:pPr>
      <w:r>
        <w:rPr>
          <w:b/>
          <w:color w:val="000000"/>
          <w:szCs w:val="24"/>
        </w:rPr>
        <w:t>Previous Court Decision</w:t>
      </w:r>
      <w:r w:rsidR="00D73E71">
        <w:rPr>
          <w:b/>
          <w:color w:val="000000"/>
          <w:szCs w:val="24"/>
        </w:rPr>
        <w:t>s Have Held That the Agreement M</w:t>
      </w:r>
      <w:r>
        <w:rPr>
          <w:b/>
          <w:color w:val="000000"/>
          <w:szCs w:val="24"/>
        </w:rPr>
        <w:t xml:space="preserve">ay be </w:t>
      </w:r>
      <w:proofErr w:type="gramStart"/>
      <w:r>
        <w:rPr>
          <w:b/>
          <w:color w:val="000000"/>
          <w:szCs w:val="24"/>
        </w:rPr>
        <w:t>Committed</w:t>
      </w:r>
      <w:proofErr w:type="gramEnd"/>
      <w:r>
        <w:rPr>
          <w:b/>
          <w:color w:val="000000"/>
          <w:szCs w:val="24"/>
        </w:rPr>
        <w:t xml:space="preserve"> to Writing After the Creation of the Work</w:t>
      </w:r>
    </w:p>
    <w:p w14:paraId="1CFA0272" w14:textId="77777777" w:rsidR="006721D4" w:rsidRDefault="008820F4" w:rsidP="006D130A">
      <w:pPr>
        <w:widowControl/>
        <w:spacing w:before="45" w:after="45" w:line="480" w:lineRule="auto"/>
        <w:ind w:right="75" w:firstLine="720"/>
        <w:rPr>
          <w:color w:val="000000"/>
          <w:szCs w:val="24"/>
        </w:rPr>
      </w:pPr>
      <w:r>
        <w:rPr>
          <w:color w:val="000000"/>
          <w:szCs w:val="24"/>
        </w:rPr>
        <w:t xml:space="preserve">The question of whether the writing needs to be signed prior to the creation of the copyrighted work has been addressed by three different circuits. The leading case on the subject is </w:t>
      </w:r>
      <w:r>
        <w:rPr>
          <w:i/>
          <w:color w:val="000000"/>
          <w:szCs w:val="24"/>
        </w:rPr>
        <w:t>Playboy Enterprises, Inc. v. Dumas</w:t>
      </w:r>
      <w:r>
        <w:rPr>
          <w:color w:val="000000"/>
          <w:szCs w:val="24"/>
        </w:rPr>
        <w:t>, 53 F.3d 549 (2d Cir. 1995) decided by the 2</w:t>
      </w:r>
      <w:r>
        <w:rPr>
          <w:color w:val="000000"/>
          <w:szCs w:val="24"/>
          <w:vertAlign w:val="superscript"/>
        </w:rPr>
        <w:t>nd</w:t>
      </w:r>
      <w:r>
        <w:rPr>
          <w:color w:val="000000"/>
          <w:szCs w:val="24"/>
        </w:rPr>
        <w:t xml:space="preserve"> circuit and denied certiorari by the Supreme </w:t>
      </w:r>
      <w:r w:rsidRPr="006D130A">
        <w:rPr>
          <w:color w:val="000000"/>
          <w:szCs w:val="24"/>
        </w:rPr>
        <w:t xml:space="preserve">Court </w:t>
      </w:r>
      <w:r w:rsidR="006D130A" w:rsidRPr="006D130A">
        <w:rPr>
          <w:color w:val="000000"/>
          <w:szCs w:val="24"/>
        </w:rPr>
        <w:t xml:space="preserve">516 U.S. 1010, 116 </w:t>
      </w:r>
      <w:proofErr w:type="spellStart"/>
      <w:r w:rsidR="006D130A" w:rsidRPr="006D130A">
        <w:rPr>
          <w:color w:val="000000"/>
          <w:szCs w:val="24"/>
        </w:rPr>
        <w:t>S.Ct</w:t>
      </w:r>
      <w:proofErr w:type="spellEnd"/>
      <w:r w:rsidR="006D130A" w:rsidRPr="006D130A">
        <w:rPr>
          <w:color w:val="000000"/>
          <w:szCs w:val="24"/>
        </w:rPr>
        <w:t xml:space="preserve">. 567 </w:t>
      </w:r>
      <w:r w:rsidR="006D130A">
        <w:rPr>
          <w:color w:val="000000"/>
          <w:szCs w:val="24"/>
        </w:rPr>
        <w:t>(</w:t>
      </w:r>
      <w:r w:rsidR="006D130A" w:rsidRPr="006D130A">
        <w:rPr>
          <w:color w:val="000000"/>
          <w:szCs w:val="24"/>
        </w:rPr>
        <w:t>1995</w:t>
      </w:r>
      <w:r w:rsidR="006D130A">
        <w:rPr>
          <w:color w:val="000000"/>
          <w:szCs w:val="24"/>
        </w:rPr>
        <w:t>)</w:t>
      </w:r>
      <w:r w:rsidRPr="006D130A">
        <w:rPr>
          <w:color w:val="000000"/>
          <w:szCs w:val="24"/>
        </w:rPr>
        <w:t>.</w:t>
      </w:r>
      <w:r>
        <w:rPr>
          <w:color w:val="000000"/>
          <w:szCs w:val="24"/>
        </w:rPr>
        <w:t xml:space="preserve"> The Second Circuit has been recognized as having special expertise in copyright, </w:t>
      </w:r>
      <w:r>
        <w:rPr>
          <w:i/>
          <w:color w:val="000000"/>
          <w:szCs w:val="24"/>
        </w:rPr>
        <w:t>Easter Seal Soc. for Crippled Children and Adults of Louisiana, Inc. v. Playboy Enterprises</w:t>
      </w:r>
      <w:r>
        <w:rPr>
          <w:color w:val="000000"/>
          <w:szCs w:val="24"/>
        </w:rPr>
        <w:t>, 815 F.2d 323, 325 (5th Cir. 1987).  The case involved ownership of the copyright for a number of paintings produced for publication in a magazine (a collective work, in the wording of the statute)</w:t>
      </w:r>
      <w:r w:rsidR="00146A72">
        <w:rPr>
          <w:color w:val="000000"/>
          <w:szCs w:val="24"/>
        </w:rPr>
        <w:t xml:space="preserve"> 53 F.3d at 552</w:t>
      </w:r>
      <w:r>
        <w:rPr>
          <w:color w:val="000000"/>
          <w:szCs w:val="24"/>
        </w:rPr>
        <w:t>. The only signed writing was the notice on the check indicating that signing the check acknowledges that the work was</w:t>
      </w:r>
      <w:r w:rsidR="00F80D51">
        <w:rPr>
          <w:color w:val="000000"/>
          <w:szCs w:val="24"/>
        </w:rPr>
        <w:t xml:space="preserve"> a</w:t>
      </w:r>
      <w:r>
        <w:rPr>
          <w:color w:val="000000"/>
          <w:szCs w:val="24"/>
        </w:rPr>
        <w:t xml:space="preserve"> work-made-for-hire</w:t>
      </w:r>
      <w:r w:rsidR="000B0AF2">
        <w:rPr>
          <w:color w:val="000000"/>
          <w:szCs w:val="24"/>
        </w:rPr>
        <w:t xml:space="preserve">. </w:t>
      </w:r>
      <w:r w:rsidR="00146A72" w:rsidRPr="00146A72">
        <w:rPr>
          <w:i/>
          <w:color w:val="000000"/>
          <w:szCs w:val="24"/>
        </w:rPr>
        <w:t>Id.</w:t>
      </w:r>
      <w:r w:rsidR="000B0AF2">
        <w:rPr>
          <w:color w:val="000000"/>
          <w:szCs w:val="24"/>
        </w:rPr>
        <w:t xml:space="preserve"> at 559-61</w:t>
      </w:r>
      <w:r>
        <w:rPr>
          <w:color w:val="000000"/>
          <w:szCs w:val="24"/>
        </w:rPr>
        <w:t xml:space="preserve"> </w:t>
      </w:r>
      <w:proofErr w:type="gramStart"/>
      <w:r>
        <w:rPr>
          <w:color w:val="000000"/>
          <w:szCs w:val="24"/>
        </w:rPr>
        <w:t>The</w:t>
      </w:r>
      <w:proofErr w:type="gramEnd"/>
      <w:r>
        <w:rPr>
          <w:color w:val="000000"/>
          <w:szCs w:val="24"/>
        </w:rPr>
        <w:t xml:space="preserve"> artist’s signature was present on some, but not all of, the checks. </w:t>
      </w:r>
      <w:r w:rsidR="00146A72" w:rsidRPr="00146A72">
        <w:rPr>
          <w:i/>
          <w:color w:val="000000"/>
          <w:szCs w:val="24"/>
        </w:rPr>
        <w:t>Id.</w:t>
      </w:r>
      <w:r w:rsidR="00146A72">
        <w:rPr>
          <w:color w:val="000000"/>
          <w:szCs w:val="24"/>
        </w:rPr>
        <w:t xml:space="preserve"> </w:t>
      </w:r>
      <w:r>
        <w:rPr>
          <w:color w:val="000000"/>
          <w:szCs w:val="24"/>
        </w:rPr>
        <w:t xml:space="preserve">This case is instructive as the court identified multiple subgroups, with some being work-made-for-hire and some failing to fulfill the writing requirement. </w:t>
      </w:r>
    </w:p>
    <w:p w14:paraId="3E3C922D" w14:textId="77777777" w:rsidR="00EC45CF" w:rsidRPr="00EC45CF" w:rsidRDefault="00EC45CF" w:rsidP="00EC45CF">
      <w:pPr>
        <w:widowControl/>
        <w:spacing w:before="45" w:after="45" w:line="480" w:lineRule="auto"/>
        <w:ind w:right="75" w:firstLine="720"/>
        <w:rPr>
          <w:color w:val="000000"/>
          <w:szCs w:val="24"/>
        </w:rPr>
      </w:pPr>
      <w:r>
        <w:rPr>
          <w:color w:val="000000"/>
          <w:szCs w:val="24"/>
        </w:rPr>
        <w:t>The court found that checks</w:t>
      </w:r>
      <w:r w:rsidR="00F80D51">
        <w:rPr>
          <w:color w:val="000000"/>
          <w:szCs w:val="24"/>
        </w:rPr>
        <w:t xml:space="preserve"> bearing the work-for-hire agreement</w:t>
      </w:r>
      <w:r>
        <w:rPr>
          <w:color w:val="000000"/>
          <w:szCs w:val="24"/>
        </w:rPr>
        <w:t xml:space="preserve"> signed by the artist</w:t>
      </w:r>
      <w:r w:rsidRPr="00EC45CF">
        <w:rPr>
          <w:color w:val="000000"/>
          <w:szCs w:val="24"/>
        </w:rPr>
        <w:t xml:space="preserve"> after creation of the work</w:t>
      </w:r>
      <w:r>
        <w:rPr>
          <w:color w:val="000000"/>
          <w:szCs w:val="24"/>
        </w:rPr>
        <w:t xml:space="preserve"> were</w:t>
      </w:r>
      <w:r w:rsidRPr="00EC45CF">
        <w:rPr>
          <w:color w:val="000000"/>
          <w:szCs w:val="24"/>
        </w:rPr>
        <w:t xml:space="preserve"> binding.</w:t>
      </w:r>
      <w:r>
        <w:rPr>
          <w:color w:val="000000"/>
          <w:szCs w:val="24"/>
        </w:rPr>
        <w:t xml:space="preserve">  Checks signed by his accountant were not binding.  Checks that did not indicate a previous work-for-hire relationship were not binding.  In short</w:t>
      </w:r>
      <w:r w:rsidR="00F80D51">
        <w:rPr>
          <w:color w:val="000000"/>
          <w:szCs w:val="24"/>
        </w:rPr>
        <w:t>,</w:t>
      </w:r>
      <w:r>
        <w:rPr>
          <w:color w:val="000000"/>
          <w:szCs w:val="24"/>
        </w:rPr>
        <w:t xml:space="preserve"> the court identified three factors necessary for a work-for-hire relationship by a contracted employee.  First, there must be an understanding by both </w:t>
      </w:r>
      <w:r>
        <w:rPr>
          <w:color w:val="000000"/>
          <w:szCs w:val="24"/>
        </w:rPr>
        <w:lastRenderedPageBreak/>
        <w:t xml:space="preserve">parties, prior to the creation of the </w:t>
      </w:r>
      <w:proofErr w:type="gramStart"/>
      <w:r>
        <w:rPr>
          <w:color w:val="000000"/>
          <w:szCs w:val="24"/>
        </w:rPr>
        <w:t>work, that</w:t>
      </w:r>
      <w:proofErr w:type="gramEnd"/>
      <w:r>
        <w:rPr>
          <w:color w:val="000000"/>
          <w:szCs w:val="24"/>
        </w:rPr>
        <w:t xml:space="preserve"> the work would be on a work-made-for-hire basis.  Second, there must be a writing signed by both parties to document that understanding.  Third, the writing must explicitly identify the work as a work-made-for-hire.</w:t>
      </w:r>
      <w:r w:rsidR="000B0AF2">
        <w:rPr>
          <w:color w:val="000000"/>
          <w:szCs w:val="24"/>
        </w:rPr>
        <w:t xml:space="preserve"> </w:t>
      </w:r>
      <w:r w:rsidR="000B0AF2" w:rsidRPr="000B0AF2">
        <w:rPr>
          <w:i/>
          <w:color w:val="000000"/>
          <w:szCs w:val="24"/>
        </w:rPr>
        <w:t>Id.</w:t>
      </w:r>
      <w:r w:rsidR="000B0AF2">
        <w:rPr>
          <w:color w:val="000000"/>
          <w:szCs w:val="24"/>
        </w:rPr>
        <w:t xml:space="preserve"> at 558-59</w:t>
      </w:r>
    </w:p>
    <w:p w14:paraId="34C09C1E" w14:textId="77777777" w:rsidR="006721D4" w:rsidRDefault="000B0AF2">
      <w:pPr>
        <w:widowControl/>
        <w:spacing w:before="45" w:after="45" w:line="480" w:lineRule="auto"/>
        <w:ind w:right="75" w:firstLine="720"/>
        <w:rPr>
          <w:color w:val="000000"/>
          <w:szCs w:val="24"/>
        </w:rPr>
      </w:pPr>
      <w:r>
        <w:rPr>
          <w:color w:val="000000"/>
          <w:szCs w:val="24"/>
        </w:rPr>
        <w:t xml:space="preserve">In the present case, all three requirements outlined by the Second Circuit </w:t>
      </w:r>
      <w:r w:rsidR="00F80D51">
        <w:rPr>
          <w:color w:val="000000"/>
          <w:szCs w:val="24"/>
        </w:rPr>
        <w:t>are present</w:t>
      </w:r>
      <w:r>
        <w:rPr>
          <w:color w:val="000000"/>
          <w:szCs w:val="24"/>
        </w:rPr>
        <w:t xml:space="preserve">.  </w:t>
      </w:r>
      <w:r w:rsidR="008820F4">
        <w:rPr>
          <w:color w:val="000000"/>
          <w:szCs w:val="24"/>
        </w:rPr>
        <w:t>Lime and Plaintiff verbally agreed prior to commencement of the work that the work would be a work-for-hire.</w:t>
      </w:r>
      <w:r>
        <w:rPr>
          <w:color w:val="000000"/>
          <w:szCs w:val="24"/>
        </w:rPr>
        <w:t xml:space="preserve">  Both Plaintiff and </w:t>
      </w:r>
      <w:r w:rsidR="008820F4">
        <w:rPr>
          <w:color w:val="000000"/>
          <w:szCs w:val="24"/>
        </w:rPr>
        <w:t xml:space="preserve">Lime signed a </w:t>
      </w:r>
      <w:r>
        <w:rPr>
          <w:color w:val="000000"/>
          <w:szCs w:val="24"/>
        </w:rPr>
        <w:t>document</w:t>
      </w:r>
      <w:r w:rsidR="008820F4">
        <w:rPr>
          <w:color w:val="000000"/>
          <w:szCs w:val="24"/>
        </w:rPr>
        <w:t xml:space="preserve"> acknowledging that the work was made for hire.</w:t>
      </w:r>
      <w:r>
        <w:rPr>
          <w:color w:val="000000"/>
          <w:szCs w:val="24"/>
        </w:rPr>
        <w:t xml:space="preserve">  </w:t>
      </w:r>
      <w:r w:rsidR="008820F4">
        <w:rPr>
          <w:color w:val="000000"/>
          <w:szCs w:val="24"/>
        </w:rPr>
        <w:t xml:space="preserve">Given the clear precedent of this controlling case, the Defendants’ motion for dismissal must be denied. </w:t>
      </w:r>
    </w:p>
    <w:p w14:paraId="5C320795" w14:textId="77777777" w:rsidR="006721D4" w:rsidRDefault="008820F4">
      <w:pPr>
        <w:widowControl/>
        <w:spacing w:before="45" w:after="45" w:line="480" w:lineRule="auto"/>
        <w:ind w:right="75" w:firstLine="720"/>
        <w:rPr>
          <w:color w:val="000000"/>
          <w:szCs w:val="24"/>
        </w:rPr>
      </w:pPr>
      <w:r>
        <w:rPr>
          <w:color w:val="000000"/>
          <w:szCs w:val="24"/>
        </w:rPr>
        <w:t xml:space="preserve">The  Seventh Circuit had previously addressed the timing of the work made for hire writing in </w:t>
      </w:r>
      <w:r>
        <w:rPr>
          <w:i/>
          <w:color w:val="000000"/>
          <w:szCs w:val="24"/>
        </w:rPr>
        <w:t xml:space="preserve">Schiller &amp; Schmidt, Inc. v. </w:t>
      </w:r>
      <w:proofErr w:type="spellStart"/>
      <w:r>
        <w:rPr>
          <w:i/>
          <w:color w:val="000000"/>
          <w:szCs w:val="24"/>
        </w:rPr>
        <w:t>Nordisco</w:t>
      </w:r>
      <w:proofErr w:type="spellEnd"/>
      <w:r>
        <w:rPr>
          <w:i/>
          <w:color w:val="000000"/>
          <w:szCs w:val="24"/>
        </w:rPr>
        <w:t xml:space="preserve"> Corp.</w:t>
      </w:r>
      <w:r>
        <w:rPr>
          <w:color w:val="000000"/>
          <w:szCs w:val="24"/>
        </w:rPr>
        <w:t>, 969 F.2d 410 (7th Cir. 1992). In this case, an employee at a mail order compa</w:t>
      </w:r>
      <w:r w:rsidR="00792292">
        <w:rPr>
          <w:color w:val="000000"/>
          <w:szCs w:val="24"/>
        </w:rPr>
        <w:t>n</w:t>
      </w:r>
      <w:r>
        <w:rPr>
          <w:color w:val="000000"/>
          <w:szCs w:val="24"/>
        </w:rPr>
        <w:t xml:space="preserve">y left and started a competing firm, where he recreated the catalog </w:t>
      </w:r>
      <w:r w:rsidR="00F80D51">
        <w:rPr>
          <w:color w:val="000000"/>
          <w:szCs w:val="24"/>
        </w:rPr>
        <w:t>of</w:t>
      </w:r>
      <w:r>
        <w:rPr>
          <w:color w:val="000000"/>
          <w:szCs w:val="24"/>
        </w:rPr>
        <w:t xml:space="preserve"> his previous employer. </w:t>
      </w:r>
      <w:r w:rsidR="000B0AF2" w:rsidRPr="000B0AF2">
        <w:rPr>
          <w:i/>
          <w:color w:val="000000"/>
          <w:szCs w:val="24"/>
        </w:rPr>
        <w:t xml:space="preserve">Id. </w:t>
      </w:r>
      <w:r w:rsidR="000B0AF2">
        <w:rPr>
          <w:color w:val="000000"/>
          <w:szCs w:val="24"/>
        </w:rPr>
        <w:t>at 411</w:t>
      </w:r>
      <w:r>
        <w:rPr>
          <w:color w:val="000000"/>
          <w:szCs w:val="24"/>
        </w:rPr>
        <w:t xml:space="preserve"> The employer sued for the departing employee’s</w:t>
      </w:r>
      <w:r w:rsidR="00F80D51">
        <w:rPr>
          <w:color w:val="000000"/>
          <w:szCs w:val="24"/>
        </w:rPr>
        <w:t xml:space="preserve"> copyright infringement including the</w:t>
      </w:r>
      <w:r>
        <w:rPr>
          <w:color w:val="000000"/>
          <w:szCs w:val="24"/>
        </w:rPr>
        <w:t xml:space="preserve"> use of photographs taken at the employer’s interest and expense by a commercial photographer. </w:t>
      </w:r>
      <w:r w:rsidR="000B0AF2" w:rsidRPr="000B0AF2">
        <w:rPr>
          <w:i/>
          <w:color w:val="000000"/>
          <w:szCs w:val="24"/>
        </w:rPr>
        <w:t>Id.</w:t>
      </w:r>
      <w:r w:rsidRPr="000B0AF2">
        <w:rPr>
          <w:i/>
          <w:color w:val="000000"/>
          <w:szCs w:val="24"/>
        </w:rPr>
        <w:t xml:space="preserve"> </w:t>
      </w:r>
      <w:r>
        <w:rPr>
          <w:color w:val="000000"/>
          <w:szCs w:val="24"/>
        </w:rPr>
        <w:t xml:space="preserve">The court found the employer did not hold the copyrights to the photographs. </w:t>
      </w:r>
      <w:r w:rsidR="000B0AF2" w:rsidRPr="000B0AF2">
        <w:rPr>
          <w:i/>
          <w:color w:val="000000"/>
          <w:szCs w:val="24"/>
        </w:rPr>
        <w:t>Id.</w:t>
      </w:r>
      <w:r w:rsidR="000B0AF2">
        <w:rPr>
          <w:color w:val="000000"/>
          <w:szCs w:val="24"/>
        </w:rPr>
        <w:t xml:space="preserve"> at 412</w:t>
      </w:r>
    </w:p>
    <w:p w14:paraId="0659D36C" w14:textId="77777777" w:rsidR="006721D4" w:rsidRPr="000B0AF2" w:rsidRDefault="000B0AF2" w:rsidP="000B0AF2">
      <w:pPr>
        <w:pStyle w:val="ListParagraph"/>
        <w:widowControl/>
        <w:spacing w:before="45" w:after="45" w:line="480" w:lineRule="auto"/>
        <w:ind w:left="0" w:right="75" w:firstLine="720"/>
        <w:rPr>
          <w:color w:val="000000"/>
          <w:szCs w:val="24"/>
        </w:rPr>
      </w:pPr>
      <w:r w:rsidRPr="000B0AF2">
        <w:rPr>
          <w:color w:val="000000"/>
          <w:szCs w:val="24"/>
        </w:rPr>
        <w:t xml:space="preserve">The Seventh Circuit found that Schiller had </w:t>
      </w:r>
      <w:r w:rsidR="008820F4" w:rsidRPr="000B0AF2">
        <w:rPr>
          <w:color w:val="000000"/>
          <w:szCs w:val="24"/>
        </w:rPr>
        <w:t>not commissioned the photographs with the understanding that they would be a work for hire.</w:t>
      </w:r>
      <w:r>
        <w:rPr>
          <w:color w:val="000000"/>
          <w:szCs w:val="24"/>
        </w:rPr>
        <w:t xml:space="preserve"> </w:t>
      </w:r>
      <w:r w:rsidRPr="000B0AF2">
        <w:rPr>
          <w:i/>
          <w:color w:val="000000"/>
          <w:szCs w:val="24"/>
        </w:rPr>
        <w:t>Id.</w:t>
      </w:r>
      <w:r w:rsidRPr="000B0AF2">
        <w:rPr>
          <w:color w:val="000000"/>
          <w:szCs w:val="24"/>
        </w:rPr>
        <w:t xml:space="preserve">  </w:t>
      </w:r>
      <w:r w:rsidR="008820F4" w:rsidRPr="000B0AF2">
        <w:rPr>
          <w:color w:val="000000"/>
          <w:szCs w:val="24"/>
        </w:rPr>
        <w:t>The photographer could not transfer the rights at the time of the writing</w:t>
      </w:r>
      <w:r w:rsidR="0031288D">
        <w:rPr>
          <w:color w:val="000000"/>
          <w:szCs w:val="24"/>
        </w:rPr>
        <w:t>, years later,</w:t>
      </w:r>
      <w:r w:rsidR="008820F4" w:rsidRPr="000B0AF2">
        <w:rPr>
          <w:color w:val="000000"/>
          <w:szCs w:val="24"/>
        </w:rPr>
        <w:t xml:space="preserve"> as he had sold to a third party.</w:t>
      </w:r>
      <w:r w:rsidRPr="000B0AF2">
        <w:rPr>
          <w:color w:val="000000"/>
          <w:szCs w:val="24"/>
        </w:rPr>
        <w:t xml:space="preserve"> </w:t>
      </w:r>
      <w:r w:rsidRPr="000B0AF2">
        <w:rPr>
          <w:i/>
          <w:color w:val="000000"/>
          <w:szCs w:val="24"/>
        </w:rPr>
        <w:t>Id.</w:t>
      </w:r>
      <w:r w:rsidRPr="000B0AF2">
        <w:rPr>
          <w:color w:val="000000"/>
          <w:szCs w:val="24"/>
        </w:rPr>
        <w:t xml:space="preserve"> </w:t>
      </w:r>
      <w:r w:rsidR="008820F4" w:rsidRPr="000B0AF2">
        <w:rPr>
          <w:color w:val="000000"/>
          <w:szCs w:val="24"/>
        </w:rPr>
        <w:t>The writing between the employer and photographer did not indicate that it was a work for hire and therefo</w:t>
      </w:r>
      <w:r w:rsidRPr="000B0AF2">
        <w:rPr>
          <w:color w:val="000000"/>
          <w:szCs w:val="24"/>
        </w:rPr>
        <w:t xml:space="preserve">re </w:t>
      </w:r>
      <w:r w:rsidR="0031288D">
        <w:rPr>
          <w:color w:val="000000"/>
          <w:szCs w:val="24"/>
        </w:rPr>
        <w:t>could</w:t>
      </w:r>
      <w:r w:rsidRPr="000B0AF2">
        <w:rPr>
          <w:color w:val="000000"/>
          <w:szCs w:val="24"/>
        </w:rPr>
        <w:t xml:space="preserve"> not transfer authorship.</w:t>
      </w:r>
      <w:r>
        <w:rPr>
          <w:color w:val="000000"/>
          <w:szCs w:val="24"/>
        </w:rPr>
        <w:t xml:space="preserve"> </w:t>
      </w:r>
      <w:r w:rsidRPr="000B0AF2">
        <w:rPr>
          <w:i/>
          <w:color w:val="000000"/>
          <w:szCs w:val="24"/>
        </w:rPr>
        <w:t>Id.</w:t>
      </w:r>
      <w:r w:rsidRPr="000B0AF2">
        <w:rPr>
          <w:color w:val="000000"/>
          <w:szCs w:val="24"/>
        </w:rPr>
        <w:t xml:space="preserve">  The writing was not signed by the employer and therefore </w:t>
      </w:r>
      <w:r w:rsidR="0031288D">
        <w:rPr>
          <w:color w:val="000000"/>
          <w:szCs w:val="24"/>
        </w:rPr>
        <w:t>could</w:t>
      </w:r>
      <w:r w:rsidRPr="000B0AF2">
        <w:rPr>
          <w:color w:val="000000"/>
          <w:szCs w:val="24"/>
        </w:rPr>
        <w:t xml:space="preserve"> not transfer authorship. </w:t>
      </w:r>
      <w:r w:rsidRPr="000B0AF2">
        <w:rPr>
          <w:i/>
          <w:color w:val="000000"/>
          <w:szCs w:val="24"/>
        </w:rPr>
        <w:t>Id.</w:t>
      </w:r>
      <w:r w:rsidRPr="000B0AF2">
        <w:rPr>
          <w:color w:val="000000"/>
          <w:szCs w:val="24"/>
        </w:rPr>
        <w:t xml:space="preserve"> </w:t>
      </w:r>
      <w:r w:rsidR="0031288D">
        <w:rPr>
          <w:color w:val="000000"/>
          <w:szCs w:val="24"/>
        </w:rPr>
        <w:t>Additionally, t</w:t>
      </w:r>
      <w:r w:rsidR="008820F4" w:rsidRPr="000B0AF2">
        <w:rPr>
          <w:color w:val="000000"/>
          <w:szCs w:val="24"/>
        </w:rPr>
        <w:t xml:space="preserve">he </w:t>
      </w:r>
      <w:r w:rsidR="008820F4" w:rsidRPr="000B0AF2">
        <w:rPr>
          <w:color w:val="000000"/>
          <w:szCs w:val="24"/>
        </w:rPr>
        <w:lastRenderedPageBreak/>
        <w:t>writing was created and signed several years after creation of the work and therefore did not transfer authorship.</w:t>
      </w:r>
      <w:r>
        <w:rPr>
          <w:color w:val="000000"/>
          <w:szCs w:val="24"/>
        </w:rPr>
        <w:t xml:space="preserve"> </w:t>
      </w:r>
      <w:r w:rsidRPr="000B0AF2">
        <w:rPr>
          <w:i/>
          <w:color w:val="000000"/>
          <w:szCs w:val="24"/>
        </w:rPr>
        <w:t>Id.</w:t>
      </w:r>
      <w:r>
        <w:rPr>
          <w:color w:val="000000"/>
          <w:szCs w:val="24"/>
        </w:rPr>
        <w:t xml:space="preserve"> </w:t>
      </w:r>
    </w:p>
    <w:p w14:paraId="3F10861D" w14:textId="77777777" w:rsidR="006721D4" w:rsidRDefault="008820F4" w:rsidP="000B0AF2">
      <w:pPr>
        <w:pStyle w:val="ListParagraph"/>
        <w:widowControl/>
        <w:spacing w:before="45" w:after="45" w:line="480" w:lineRule="auto"/>
        <w:ind w:left="0" w:right="75" w:firstLine="720"/>
      </w:pPr>
      <w:r>
        <w:rPr>
          <w:color w:val="000000"/>
          <w:szCs w:val="24"/>
        </w:rPr>
        <w:t>This case is differentiate</w:t>
      </w:r>
      <w:r w:rsidR="000B0AF2">
        <w:rPr>
          <w:color w:val="000000"/>
          <w:szCs w:val="24"/>
        </w:rPr>
        <w:t xml:space="preserve">d from the current case in that the signed agreement was completed shortly after creation, while Lime had possession of the copyright as opposed to several years later.  </w:t>
      </w:r>
      <w:r>
        <w:rPr>
          <w:color w:val="000000"/>
          <w:szCs w:val="24"/>
        </w:rPr>
        <w:t xml:space="preserve">Lime and Nelson verbally agreed that the work would be a work for hire prior to the creation of the work. </w:t>
      </w:r>
      <w:r w:rsidR="0031288D">
        <w:rPr>
          <w:color w:val="000000"/>
          <w:szCs w:val="24"/>
        </w:rPr>
        <w:t>And t</w:t>
      </w:r>
      <w:r>
        <w:t>he writing was signed by both parties</w:t>
      </w:r>
      <w:r w:rsidR="0031288D">
        <w:t xml:space="preserve"> and indicated that the work was a work-for-hire</w:t>
      </w:r>
      <w:r>
        <w:t xml:space="preserve">. </w:t>
      </w:r>
    </w:p>
    <w:p w14:paraId="77F5E2FE" w14:textId="77777777" w:rsidR="006721D4" w:rsidRDefault="008820F4">
      <w:pPr>
        <w:pStyle w:val="ListParagraph"/>
        <w:widowControl/>
        <w:spacing w:before="45" w:after="45" w:line="480" w:lineRule="auto"/>
        <w:ind w:left="0" w:right="75"/>
      </w:pPr>
      <w:r>
        <w:tab/>
        <w:t xml:space="preserve">The Schiller court had numerous reasons to view the signed writing with skepticism, including 1) the fact that it did not indicate that it was a work for hire, 2) was completed years later, and 3) was not signed by both parties. </w:t>
      </w:r>
      <w:r w:rsidR="00B06377" w:rsidRPr="00B06377">
        <w:rPr>
          <w:i/>
        </w:rPr>
        <w:t>Id.</w:t>
      </w:r>
      <w:r>
        <w:t xml:space="preserve"> Due to the many deficiencies, the post-creation signature element was interesting but not dispositive in this case. Specifically the fact</w:t>
      </w:r>
      <w:r w:rsidR="00B06377">
        <w:t>s</w:t>
      </w:r>
      <w:r>
        <w:t xml:space="preserve"> that the photographer did not </w:t>
      </w:r>
      <w:r w:rsidR="00D73E71">
        <w:t xml:space="preserve">agree to the work as a work for hire and did not </w:t>
      </w:r>
      <w:r>
        <w:t>hold the rights to the photographs when the writing was signed prevented the transfer</w:t>
      </w:r>
      <w:r w:rsidR="00E635D5">
        <w:t xml:space="preserve"> of those rights</w:t>
      </w:r>
      <w:r>
        <w:t>.</w:t>
      </w:r>
    </w:p>
    <w:p w14:paraId="2F123006" w14:textId="77777777" w:rsidR="006721D4" w:rsidRDefault="008820F4">
      <w:pPr>
        <w:widowControl/>
        <w:spacing w:before="45" w:after="45" w:line="480" w:lineRule="auto"/>
        <w:ind w:right="75" w:firstLine="720"/>
        <w:rPr>
          <w:color w:val="000000"/>
          <w:szCs w:val="24"/>
        </w:rPr>
      </w:pPr>
      <w:r>
        <w:rPr>
          <w:color w:val="000000"/>
          <w:szCs w:val="24"/>
        </w:rPr>
        <w:t xml:space="preserve">The First Circuit also looked at the issue of after-the-fact contracts with scriptwriters conveying copyrights as adequate to establish work for hire in </w:t>
      </w:r>
      <w:r>
        <w:rPr>
          <w:i/>
          <w:color w:val="000000"/>
          <w:szCs w:val="24"/>
        </w:rPr>
        <w:t>TMTV CORP. v. Mass Productions, Inc.</w:t>
      </w:r>
      <w:r>
        <w:rPr>
          <w:color w:val="000000"/>
          <w:szCs w:val="24"/>
        </w:rPr>
        <w:t>, 645 F.3d 464 (1st Cir. 2011). The district court found that a work for hire agreement could be reduced to writing after the creation of the screenplay</w:t>
      </w:r>
      <w:r w:rsidR="00E635D5">
        <w:rPr>
          <w:color w:val="000000"/>
          <w:szCs w:val="24"/>
        </w:rPr>
        <w:t xml:space="preserve"> </w:t>
      </w:r>
      <w:r w:rsidR="00B06377" w:rsidRPr="00B06377">
        <w:rPr>
          <w:i/>
          <w:color w:val="000000"/>
          <w:szCs w:val="24"/>
        </w:rPr>
        <w:t>Id.</w:t>
      </w:r>
      <w:r w:rsidR="00B06377">
        <w:rPr>
          <w:color w:val="000000"/>
          <w:szCs w:val="24"/>
        </w:rPr>
        <w:t xml:space="preserve"> at 470</w:t>
      </w:r>
      <w:r>
        <w:rPr>
          <w:color w:val="000000"/>
          <w:szCs w:val="24"/>
        </w:rPr>
        <w:t xml:space="preserve"> The appeals court </w:t>
      </w:r>
      <w:r w:rsidR="00EE10B0">
        <w:rPr>
          <w:color w:val="000000"/>
          <w:szCs w:val="24"/>
        </w:rPr>
        <w:t>accepted this rationale and i</w:t>
      </w:r>
      <w:r w:rsidR="00B06377">
        <w:rPr>
          <w:color w:val="000000"/>
          <w:szCs w:val="24"/>
        </w:rPr>
        <w:t>ndicated the timing of the writing was redundant as</w:t>
      </w:r>
      <w:r>
        <w:rPr>
          <w:color w:val="000000"/>
          <w:szCs w:val="24"/>
        </w:rPr>
        <w:t xml:space="preserve"> the rights had</w:t>
      </w:r>
      <w:r w:rsidR="00B06377">
        <w:rPr>
          <w:color w:val="000000"/>
          <w:szCs w:val="24"/>
        </w:rPr>
        <w:t xml:space="preserve"> also</w:t>
      </w:r>
      <w:r>
        <w:rPr>
          <w:color w:val="000000"/>
          <w:szCs w:val="24"/>
        </w:rPr>
        <w:t xml:space="preserve"> b</w:t>
      </w:r>
      <w:r w:rsidR="0031288D">
        <w:rPr>
          <w:color w:val="000000"/>
          <w:szCs w:val="24"/>
        </w:rPr>
        <w:t>een transferred to the alternative</w:t>
      </w:r>
      <w:r>
        <w:rPr>
          <w:color w:val="000000"/>
          <w:szCs w:val="24"/>
        </w:rPr>
        <w:t xml:space="preserve"> through written transfer under § 204 in anticipation of litigation. </w:t>
      </w:r>
      <w:r w:rsidR="00B06377" w:rsidRPr="00B06377">
        <w:rPr>
          <w:i/>
          <w:color w:val="000000"/>
          <w:szCs w:val="24"/>
        </w:rPr>
        <w:t>Id.</w:t>
      </w:r>
      <w:r>
        <w:rPr>
          <w:color w:val="000000"/>
          <w:szCs w:val="24"/>
        </w:rPr>
        <w:t xml:space="preserve"> </w:t>
      </w:r>
    </w:p>
    <w:p w14:paraId="67C9127F" w14:textId="77777777" w:rsidR="002417FD" w:rsidRDefault="008820F4">
      <w:pPr>
        <w:widowControl/>
        <w:spacing w:before="45" w:after="45" w:line="480" w:lineRule="auto"/>
        <w:ind w:right="75" w:firstLine="720"/>
        <w:rPr>
          <w:color w:val="000000"/>
          <w:szCs w:val="24"/>
        </w:rPr>
      </w:pPr>
      <w:r>
        <w:rPr>
          <w:color w:val="000000"/>
          <w:szCs w:val="24"/>
        </w:rPr>
        <w:t xml:space="preserve">Compelling to the present case is the 2001 case </w:t>
      </w:r>
      <w:r>
        <w:rPr>
          <w:i/>
          <w:color w:val="000000"/>
          <w:szCs w:val="24"/>
        </w:rPr>
        <w:t xml:space="preserve">Compaq Computer Corp. v. </w:t>
      </w:r>
      <w:proofErr w:type="spellStart"/>
      <w:r>
        <w:rPr>
          <w:i/>
          <w:color w:val="000000"/>
          <w:szCs w:val="24"/>
        </w:rPr>
        <w:t>Ergonome</w:t>
      </w:r>
      <w:proofErr w:type="spellEnd"/>
      <w:r>
        <w:rPr>
          <w:i/>
          <w:color w:val="000000"/>
          <w:szCs w:val="24"/>
        </w:rPr>
        <w:t xml:space="preserve"> Inc.</w:t>
      </w:r>
      <w:r>
        <w:rPr>
          <w:color w:val="000000"/>
          <w:szCs w:val="24"/>
        </w:rPr>
        <w:t>,</w:t>
      </w:r>
      <w:r>
        <w:rPr>
          <w:i/>
          <w:color w:val="000000"/>
          <w:szCs w:val="24"/>
        </w:rPr>
        <w:t xml:space="preserve"> </w:t>
      </w:r>
      <w:r>
        <w:rPr>
          <w:color w:val="000000"/>
          <w:szCs w:val="24"/>
        </w:rPr>
        <w:t>210 F. Su</w:t>
      </w:r>
      <w:r w:rsidR="00896AB6">
        <w:rPr>
          <w:color w:val="000000"/>
          <w:szCs w:val="24"/>
        </w:rPr>
        <w:t>pp.2</w:t>
      </w:r>
      <w:r>
        <w:rPr>
          <w:color w:val="000000"/>
          <w:szCs w:val="24"/>
        </w:rPr>
        <w:t>d 839 (</w:t>
      </w:r>
      <w:proofErr w:type="spellStart"/>
      <w:r w:rsidR="00896AB6">
        <w:rPr>
          <w:color w:val="000000"/>
          <w:szCs w:val="24"/>
        </w:rPr>
        <w:t>S.D.Tex</w:t>
      </w:r>
      <w:proofErr w:type="spellEnd"/>
      <w:r w:rsidR="00896AB6">
        <w:rPr>
          <w:color w:val="000000"/>
          <w:szCs w:val="24"/>
        </w:rPr>
        <w:t>.</w:t>
      </w:r>
      <w:r>
        <w:rPr>
          <w:color w:val="000000"/>
          <w:szCs w:val="24"/>
        </w:rPr>
        <w:t xml:space="preserve"> </w:t>
      </w:r>
      <w:r w:rsidR="00896AB6">
        <w:rPr>
          <w:color w:val="000000"/>
          <w:szCs w:val="24"/>
        </w:rPr>
        <w:t>2001</w:t>
      </w:r>
      <w:r>
        <w:rPr>
          <w:color w:val="000000"/>
          <w:szCs w:val="24"/>
        </w:rPr>
        <w:t xml:space="preserve">) from the Fifth Circuit. In that case, </w:t>
      </w:r>
      <w:r>
        <w:rPr>
          <w:color w:val="000000"/>
          <w:szCs w:val="24"/>
        </w:rPr>
        <w:lastRenderedPageBreak/>
        <w:t xml:space="preserve">the patron commissioned a photographer to take photographs on two different days for a book. </w:t>
      </w:r>
      <w:proofErr w:type="gramStart"/>
      <w:r w:rsidR="00896AB6" w:rsidRPr="00896AB6">
        <w:rPr>
          <w:i/>
          <w:color w:val="000000"/>
          <w:szCs w:val="24"/>
        </w:rPr>
        <w:t>Id.</w:t>
      </w:r>
      <w:r w:rsidR="00896AB6">
        <w:rPr>
          <w:color w:val="000000"/>
          <w:szCs w:val="24"/>
        </w:rPr>
        <w:t xml:space="preserve"> at 843-44.</w:t>
      </w:r>
      <w:proofErr w:type="gramEnd"/>
      <w:r>
        <w:rPr>
          <w:color w:val="000000"/>
          <w:szCs w:val="24"/>
        </w:rPr>
        <w:t xml:space="preserve"> At the second session, the patron and photographer signed a written document recognizing that the work performed</w:t>
      </w:r>
      <w:r w:rsidR="0031288D">
        <w:rPr>
          <w:color w:val="000000"/>
          <w:szCs w:val="24"/>
        </w:rPr>
        <w:t xml:space="preserve"> on both days</w:t>
      </w:r>
      <w:r>
        <w:rPr>
          <w:color w:val="000000"/>
          <w:szCs w:val="24"/>
        </w:rPr>
        <w:t xml:space="preserve"> was a work</w:t>
      </w:r>
      <w:r w:rsidR="0031288D">
        <w:rPr>
          <w:color w:val="000000"/>
          <w:szCs w:val="24"/>
        </w:rPr>
        <w:t>-for-hire and establishing that the p</w:t>
      </w:r>
      <w:r>
        <w:rPr>
          <w:color w:val="000000"/>
          <w:szCs w:val="24"/>
        </w:rPr>
        <w:t>atron owned the copyrights to the photographs</w:t>
      </w:r>
      <w:r w:rsidR="0031288D">
        <w:rPr>
          <w:color w:val="000000"/>
          <w:szCs w:val="24"/>
        </w:rPr>
        <w:t>.</w:t>
      </w:r>
      <w:r>
        <w:rPr>
          <w:color w:val="000000"/>
          <w:szCs w:val="24"/>
        </w:rPr>
        <w:t xml:space="preserve"> </w:t>
      </w:r>
      <w:r w:rsidR="0031288D">
        <w:rPr>
          <w:color w:val="000000"/>
          <w:szCs w:val="24"/>
        </w:rPr>
        <w:t>T</w:t>
      </w:r>
      <w:r>
        <w:rPr>
          <w:color w:val="000000"/>
          <w:szCs w:val="24"/>
        </w:rPr>
        <w:t xml:space="preserve">he writing also documented the photographer’s payment. </w:t>
      </w:r>
      <w:r w:rsidR="00896AB6" w:rsidRPr="00896AB6">
        <w:rPr>
          <w:i/>
          <w:color w:val="000000"/>
          <w:szCs w:val="24"/>
        </w:rPr>
        <w:t>Id.</w:t>
      </w:r>
      <w:r>
        <w:rPr>
          <w:color w:val="000000"/>
          <w:szCs w:val="24"/>
        </w:rPr>
        <w:t xml:space="preserve"> </w:t>
      </w:r>
    </w:p>
    <w:p w14:paraId="27D77472" w14:textId="77777777" w:rsidR="006721D4" w:rsidRDefault="002417FD" w:rsidP="002417FD">
      <w:pPr>
        <w:widowControl/>
        <w:spacing w:before="45" w:after="45" w:line="480" w:lineRule="auto"/>
        <w:ind w:right="75" w:firstLine="720"/>
        <w:rPr>
          <w:color w:val="000000"/>
          <w:szCs w:val="24"/>
        </w:rPr>
      </w:pPr>
      <w:r>
        <w:rPr>
          <w:color w:val="000000"/>
          <w:szCs w:val="24"/>
        </w:rPr>
        <w:t>The court found t</w:t>
      </w:r>
      <w:r w:rsidR="008820F4">
        <w:rPr>
          <w:color w:val="000000"/>
          <w:szCs w:val="24"/>
        </w:rPr>
        <w:t xml:space="preserve">he Second </w:t>
      </w:r>
      <w:r>
        <w:rPr>
          <w:color w:val="000000"/>
          <w:szCs w:val="24"/>
        </w:rPr>
        <w:t>C</w:t>
      </w:r>
      <w:r w:rsidR="008820F4">
        <w:rPr>
          <w:color w:val="000000"/>
          <w:szCs w:val="24"/>
        </w:rPr>
        <w:t xml:space="preserve">ircuit approach is preferable to resolve ownership of the </w:t>
      </w:r>
      <w:r w:rsidR="0031288D">
        <w:rPr>
          <w:color w:val="000000"/>
          <w:szCs w:val="24"/>
        </w:rPr>
        <w:t>copyright,</w:t>
      </w:r>
      <w:r>
        <w:rPr>
          <w:color w:val="000000"/>
          <w:szCs w:val="24"/>
        </w:rPr>
        <w:t xml:space="preserve"> </w:t>
      </w:r>
      <w:r w:rsidRPr="002417FD">
        <w:rPr>
          <w:i/>
          <w:color w:val="000000"/>
          <w:szCs w:val="24"/>
        </w:rPr>
        <w:t>Id.</w:t>
      </w:r>
      <w:r>
        <w:rPr>
          <w:color w:val="000000"/>
          <w:szCs w:val="24"/>
        </w:rPr>
        <w:t xml:space="preserve"> at 842-43</w:t>
      </w:r>
      <w:r w:rsidR="008820F4">
        <w:rPr>
          <w:color w:val="000000"/>
          <w:szCs w:val="24"/>
        </w:rPr>
        <w:t xml:space="preserve">. </w:t>
      </w:r>
      <w:r w:rsidR="0031288D">
        <w:rPr>
          <w:color w:val="000000"/>
          <w:szCs w:val="24"/>
        </w:rPr>
        <w:t>t</w:t>
      </w:r>
      <w:r w:rsidR="008820F4">
        <w:rPr>
          <w:color w:val="000000"/>
          <w:szCs w:val="24"/>
        </w:rPr>
        <w:t>hat the writing may be generated after the performance of the work and still qualify as a work-made-for</w:t>
      </w:r>
      <w:r w:rsidR="0031288D">
        <w:rPr>
          <w:color w:val="000000"/>
          <w:szCs w:val="24"/>
        </w:rPr>
        <w:t>-hire,</w:t>
      </w:r>
      <w:r w:rsidR="008820F4">
        <w:rPr>
          <w:color w:val="000000"/>
          <w:szCs w:val="24"/>
        </w:rPr>
        <w:t xml:space="preserve"> </w:t>
      </w:r>
      <w:r w:rsidR="0031288D">
        <w:rPr>
          <w:color w:val="000000"/>
          <w:szCs w:val="24"/>
        </w:rPr>
        <w:t>a</w:t>
      </w:r>
      <w:r w:rsidR="008820F4">
        <w:rPr>
          <w:color w:val="000000"/>
          <w:szCs w:val="24"/>
        </w:rPr>
        <w:t>nd that this is consistent with the 11</w:t>
      </w:r>
      <w:r w:rsidR="008820F4">
        <w:rPr>
          <w:color w:val="000000"/>
          <w:szCs w:val="24"/>
          <w:vertAlign w:val="superscript"/>
        </w:rPr>
        <w:t>th</w:t>
      </w:r>
      <w:r w:rsidR="008820F4">
        <w:rPr>
          <w:color w:val="000000"/>
          <w:szCs w:val="24"/>
        </w:rPr>
        <w:t xml:space="preserve"> circuit’s treatment of copyright transfers as determined in </w:t>
      </w:r>
      <w:r w:rsidR="008820F4">
        <w:rPr>
          <w:i/>
          <w:color w:val="000000"/>
          <w:szCs w:val="24"/>
        </w:rPr>
        <w:t>Imperial Residential Design Inc. v. The Palms Dev. Group, Inc.</w:t>
      </w:r>
      <w:r w:rsidR="008820F4">
        <w:rPr>
          <w:color w:val="000000"/>
          <w:szCs w:val="24"/>
        </w:rPr>
        <w:t>, 70 F.3d 96, 99 (11th Cir. 1995)</w:t>
      </w:r>
      <w:r>
        <w:rPr>
          <w:color w:val="000000"/>
          <w:szCs w:val="24"/>
        </w:rPr>
        <w:t>.  This case provides the clearest enunciation of what is required to for a work-for-hire agreement under § 101(2).  The court further identified t</w:t>
      </w:r>
      <w:r w:rsidR="008820F4">
        <w:rPr>
          <w:color w:val="000000"/>
          <w:szCs w:val="24"/>
        </w:rPr>
        <w:t xml:space="preserve">he three requirements </w:t>
      </w:r>
      <w:proofErr w:type="spellStart"/>
      <w:r w:rsidR="008820F4">
        <w:rPr>
          <w:color w:val="000000"/>
          <w:szCs w:val="24"/>
        </w:rPr>
        <w:t>i</w:t>
      </w:r>
      <w:proofErr w:type="spellEnd"/>
      <w:r w:rsidR="008820F4">
        <w:rPr>
          <w:color w:val="000000"/>
          <w:szCs w:val="24"/>
        </w:rPr>
        <w:t>) did the language of the writing meet the § 101(2) requirement, ii) did the parties understand the work to be a work-for-hire at the time of creation, and iii) was the writing signed by both parties or their authorized agents</w:t>
      </w:r>
      <w:r>
        <w:rPr>
          <w:color w:val="000000"/>
          <w:szCs w:val="24"/>
        </w:rPr>
        <w:t xml:space="preserve"> 210 F. Supp.2d at 843</w:t>
      </w:r>
      <w:r w:rsidR="008820F4">
        <w:rPr>
          <w:color w:val="000000"/>
          <w:szCs w:val="24"/>
        </w:rPr>
        <w:t>.</w:t>
      </w:r>
      <w:r w:rsidRPr="002417FD">
        <w:rPr>
          <w:color w:val="000000"/>
          <w:szCs w:val="24"/>
        </w:rPr>
        <w:t xml:space="preserve"> </w:t>
      </w:r>
      <w:r>
        <w:rPr>
          <w:color w:val="000000"/>
          <w:szCs w:val="24"/>
        </w:rPr>
        <w:t xml:space="preserve">This case was reviewed multiple times by the Fifth Circuit </w:t>
      </w:r>
      <w:r w:rsidRPr="00896AB6">
        <w:rPr>
          <w:i/>
          <w:color w:val="000000"/>
          <w:szCs w:val="24"/>
        </w:rPr>
        <w:t xml:space="preserve">Compaq Computer Corp. v. </w:t>
      </w:r>
      <w:proofErr w:type="spellStart"/>
      <w:r w:rsidRPr="00896AB6">
        <w:rPr>
          <w:i/>
          <w:color w:val="000000"/>
          <w:szCs w:val="24"/>
        </w:rPr>
        <w:t>Ergonome</w:t>
      </w:r>
      <w:proofErr w:type="spellEnd"/>
      <w:r w:rsidRPr="00896AB6">
        <w:rPr>
          <w:i/>
          <w:color w:val="000000"/>
          <w:szCs w:val="24"/>
        </w:rPr>
        <w:t xml:space="preserve"> Inc.,</w:t>
      </w:r>
      <w:r w:rsidRPr="00896AB6">
        <w:rPr>
          <w:color w:val="000000"/>
          <w:szCs w:val="24"/>
        </w:rPr>
        <w:t xml:space="preserve"> 387 F.3d 403 (5th Cir</w:t>
      </w:r>
      <w:r>
        <w:rPr>
          <w:color w:val="000000"/>
          <w:szCs w:val="24"/>
        </w:rPr>
        <w:t>.</w:t>
      </w:r>
      <w:r w:rsidRPr="00896AB6">
        <w:rPr>
          <w:color w:val="000000"/>
          <w:szCs w:val="24"/>
        </w:rPr>
        <w:t xml:space="preserve"> 2004)</w:t>
      </w:r>
      <w:r>
        <w:rPr>
          <w:color w:val="000000"/>
          <w:szCs w:val="24"/>
        </w:rPr>
        <w:t xml:space="preserve"> and as such can be expected to reflect their views on the matters involved.</w:t>
      </w:r>
    </w:p>
    <w:p w14:paraId="0F9AF8E2" w14:textId="77777777" w:rsidR="006721D4" w:rsidRDefault="008820F4" w:rsidP="00AC3ACD">
      <w:pPr>
        <w:widowControl/>
        <w:spacing w:before="45" w:after="45" w:line="480" w:lineRule="auto"/>
        <w:ind w:right="75" w:firstLine="720"/>
        <w:rPr>
          <w:color w:val="000000"/>
          <w:szCs w:val="24"/>
        </w:rPr>
      </w:pPr>
      <w:r>
        <w:rPr>
          <w:color w:val="000000"/>
          <w:szCs w:val="24"/>
        </w:rPr>
        <w:t>This case strongly reflects the present case where</w:t>
      </w:r>
      <w:r w:rsidR="002417FD">
        <w:rPr>
          <w:color w:val="000000"/>
          <w:szCs w:val="24"/>
        </w:rPr>
        <w:t xml:space="preserve"> </w:t>
      </w:r>
      <w:proofErr w:type="spellStart"/>
      <w:r w:rsidR="002417FD">
        <w:rPr>
          <w:color w:val="000000"/>
          <w:szCs w:val="24"/>
        </w:rPr>
        <w:t>i</w:t>
      </w:r>
      <w:proofErr w:type="spellEnd"/>
      <w:r w:rsidR="002417FD">
        <w:rPr>
          <w:color w:val="000000"/>
          <w:szCs w:val="24"/>
        </w:rPr>
        <w:t>) t</w:t>
      </w:r>
      <w:r>
        <w:rPr>
          <w:color w:val="000000"/>
          <w:szCs w:val="24"/>
        </w:rPr>
        <w:t>he writing indicates t</w:t>
      </w:r>
      <w:r w:rsidR="00AC3ACD">
        <w:rPr>
          <w:color w:val="000000"/>
          <w:szCs w:val="24"/>
        </w:rPr>
        <w:t>hat the work is a work-for-hire, ii) b</w:t>
      </w:r>
      <w:r>
        <w:rPr>
          <w:color w:val="000000"/>
          <w:szCs w:val="24"/>
        </w:rPr>
        <w:t>oth parties understood the work to be a work f</w:t>
      </w:r>
      <w:r w:rsidR="00AC3ACD">
        <w:rPr>
          <w:color w:val="000000"/>
          <w:szCs w:val="24"/>
        </w:rPr>
        <w:t>or hire at the time of creation, and iii) t</w:t>
      </w:r>
      <w:r>
        <w:rPr>
          <w:color w:val="000000"/>
          <w:szCs w:val="24"/>
        </w:rPr>
        <w:t xml:space="preserve">he writing was signed by both parties </w:t>
      </w:r>
      <w:r w:rsidR="00AC3ACD">
        <w:rPr>
          <w:color w:val="000000"/>
          <w:szCs w:val="24"/>
        </w:rPr>
        <w:t>within 10 days of</w:t>
      </w:r>
      <w:r>
        <w:rPr>
          <w:color w:val="000000"/>
          <w:szCs w:val="24"/>
        </w:rPr>
        <w:t xml:space="preserve"> the creation of the work.</w:t>
      </w:r>
      <w:r w:rsidR="00AC3ACD">
        <w:rPr>
          <w:color w:val="000000"/>
          <w:szCs w:val="24"/>
        </w:rPr>
        <w:t xml:space="preserve">  The court further found that, in the alternative, the writing would satisfy § 201(d) as would the writing in the present case and that such a transfer was sufficient to establish the plaintiff’s authority to proceed with their claim. </w:t>
      </w:r>
      <w:proofErr w:type="gramStart"/>
      <w:r w:rsidR="00AC3ACD" w:rsidRPr="00AC3ACD">
        <w:rPr>
          <w:i/>
          <w:color w:val="000000"/>
          <w:szCs w:val="24"/>
        </w:rPr>
        <w:t>Id.</w:t>
      </w:r>
      <w:r w:rsidR="00AC3ACD">
        <w:rPr>
          <w:color w:val="000000"/>
          <w:szCs w:val="24"/>
        </w:rPr>
        <w:t xml:space="preserve"> at 844.</w:t>
      </w:r>
      <w:proofErr w:type="gramEnd"/>
    </w:p>
    <w:p w14:paraId="474AA3CF" w14:textId="77777777" w:rsidR="006721D4" w:rsidRDefault="008820F4" w:rsidP="00BA3DD6">
      <w:pPr>
        <w:pStyle w:val="ListParagraph"/>
        <w:widowControl/>
        <w:spacing w:before="45" w:after="45" w:line="480" w:lineRule="auto"/>
        <w:ind w:left="360" w:right="75"/>
        <w:rPr>
          <w:color w:val="000000"/>
          <w:szCs w:val="24"/>
        </w:rPr>
      </w:pPr>
      <w:r>
        <w:rPr>
          <w:color w:val="000000"/>
          <w:szCs w:val="24"/>
        </w:rPr>
        <w:lastRenderedPageBreak/>
        <w:tab/>
      </w:r>
    </w:p>
    <w:p w14:paraId="157B0E66" w14:textId="77777777" w:rsidR="006721D4" w:rsidRDefault="00BA3DD6" w:rsidP="007A1C13">
      <w:pPr>
        <w:widowControl/>
        <w:spacing w:before="45" w:after="45" w:line="480" w:lineRule="auto"/>
        <w:ind w:right="75"/>
        <w:rPr>
          <w:b/>
          <w:color w:val="000000"/>
          <w:szCs w:val="24"/>
        </w:rPr>
      </w:pPr>
      <w:r>
        <w:rPr>
          <w:b/>
          <w:color w:val="000000"/>
          <w:szCs w:val="24"/>
        </w:rPr>
        <w:t xml:space="preserve">Congress has </w:t>
      </w:r>
      <w:r w:rsidR="00D73E71">
        <w:rPr>
          <w:b/>
          <w:color w:val="000000"/>
          <w:szCs w:val="24"/>
        </w:rPr>
        <w:t>A</w:t>
      </w:r>
      <w:r>
        <w:rPr>
          <w:b/>
          <w:color w:val="000000"/>
          <w:szCs w:val="24"/>
        </w:rPr>
        <w:t xml:space="preserve">mended </w:t>
      </w:r>
      <w:r w:rsidR="00D73E71">
        <w:rPr>
          <w:b/>
          <w:color w:val="000000"/>
          <w:szCs w:val="24"/>
        </w:rPr>
        <w:t>C</w:t>
      </w:r>
      <w:r w:rsidR="0044033D">
        <w:rPr>
          <w:b/>
          <w:color w:val="000000"/>
          <w:szCs w:val="24"/>
        </w:rPr>
        <w:t xml:space="preserve">opyright </w:t>
      </w:r>
      <w:r w:rsidR="00D73E71">
        <w:rPr>
          <w:b/>
          <w:color w:val="000000"/>
          <w:szCs w:val="24"/>
        </w:rPr>
        <w:t>L</w:t>
      </w:r>
      <w:r w:rsidR="0044033D">
        <w:rPr>
          <w:b/>
          <w:color w:val="000000"/>
          <w:szCs w:val="24"/>
        </w:rPr>
        <w:t xml:space="preserve">aw </w:t>
      </w:r>
      <w:r w:rsidR="0031288D">
        <w:rPr>
          <w:b/>
          <w:color w:val="000000"/>
          <w:szCs w:val="24"/>
        </w:rPr>
        <w:t>Six</w:t>
      </w:r>
      <w:r w:rsidR="008820F4">
        <w:rPr>
          <w:b/>
          <w:color w:val="000000"/>
          <w:szCs w:val="24"/>
        </w:rPr>
        <w:t xml:space="preserve"> </w:t>
      </w:r>
      <w:r w:rsidR="00D73E71">
        <w:rPr>
          <w:b/>
          <w:color w:val="000000"/>
          <w:szCs w:val="24"/>
        </w:rPr>
        <w:t>T</w:t>
      </w:r>
      <w:r w:rsidR="008820F4">
        <w:rPr>
          <w:b/>
          <w:color w:val="000000"/>
          <w:szCs w:val="24"/>
        </w:rPr>
        <w:t xml:space="preserve">imes </w:t>
      </w:r>
      <w:r w:rsidR="00D73E71">
        <w:rPr>
          <w:b/>
          <w:color w:val="000000"/>
          <w:szCs w:val="24"/>
        </w:rPr>
        <w:t>S</w:t>
      </w:r>
      <w:r w:rsidR="008820F4">
        <w:rPr>
          <w:b/>
          <w:color w:val="000000"/>
          <w:szCs w:val="24"/>
        </w:rPr>
        <w:t>ince the Sec</w:t>
      </w:r>
      <w:r w:rsidR="00D73E71">
        <w:rPr>
          <w:b/>
          <w:color w:val="000000"/>
          <w:szCs w:val="24"/>
        </w:rPr>
        <w:t>ond Circuit Opinion, including A</w:t>
      </w:r>
      <w:r w:rsidR="008820F4">
        <w:rPr>
          <w:b/>
          <w:color w:val="000000"/>
          <w:szCs w:val="24"/>
        </w:rPr>
        <w:t xml:space="preserve">mending the </w:t>
      </w:r>
      <w:r w:rsidR="00D73E71">
        <w:rPr>
          <w:b/>
          <w:color w:val="000000"/>
          <w:szCs w:val="24"/>
        </w:rPr>
        <w:t>W</w:t>
      </w:r>
      <w:r w:rsidR="008820F4">
        <w:rPr>
          <w:b/>
          <w:color w:val="000000"/>
          <w:szCs w:val="24"/>
        </w:rPr>
        <w:t>ork-</w:t>
      </w:r>
      <w:r w:rsidR="00D73E71">
        <w:rPr>
          <w:b/>
          <w:color w:val="000000"/>
          <w:szCs w:val="24"/>
        </w:rPr>
        <w:t>M</w:t>
      </w:r>
      <w:r w:rsidR="008820F4">
        <w:rPr>
          <w:b/>
          <w:color w:val="000000"/>
          <w:szCs w:val="24"/>
        </w:rPr>
        <w:t>ade-</w:t>
      </w:r>
      <w:r w:rsidR="00D73E71">
        <w:rPr>
          <w:b/>
          <w:color w:val="000000"/>
          <w:szCs w:val="24"/>
        </w:rPr>
        <w:t>F</w:t>
      </w:r>
      <w:r w:rsidR="008820F4">
        <w:rPr>
          <w:b/>
          <w:color w:val="000000"/>
          <w:szCs w:val="24"/>
        </w:rPr>
        <w:t>or-</w:t>
      </w:r>
      <w:r w:rsidR="00D73E71">
        <w:rPr>
          <w:b/>
          <w:color w:val="000000"/>
          <w:szCs w:val="24"/>
        </w:rPr>
        <w:t>H</w:t>
      </w:r>
      <w:r w:rsidR="0031288D">
        <w:rPr>
          <w:b/>
          <w:color w:val="000000"/>
          <w:szCs w:val="24"/>
        </w:rPr>
        <w:t>ire D</w:t>
      </w:r>
      <w:r w:rsidR="008820F4">
        <w:rPr>
          <w:b/>
          <w:color w:val="000000"/>
          <w:szCs w:val="24"/>
        </w:rPr>
        <w:t xml:space="preserve">octrine, and </w:t>
      </w:r>
      <w:r w:rsidR="00D73E71">
        <w:rPr>
          <w:b/>
          <w:color w:val="000000"/>
          <w:szCs w:val="24"/>
        </w:rPr>
        <w:t>H</w:t>
      </w:r>
      <w:r w:rsidR="008820F4">
        <w:rPr>
          <w:b/>
          <w:color w:val="000000"/>
          <w:szCs w:val="24"/>
        </w:rPr>
        <w:t xml:space="preserve">as </w:t>
      </w:r>
      <w:r w:rsidR="00D73E71">
        <w:rPr>
          <w:b/>
          <w:color w:val="000000"/>
          <w:szCs w:val="24"/>
        </w:rPr>
        <w:t>N</w:t>
      </w:r>
      <w:r w:rsidR="008820F4">
        <w:rPr>
          <w:b/>
          <w:color w:val="000000"/>
          <w:szCs w:val="24"/>
        </w:rPr>
        <w:t xml:space="preserve">ot </w:t>
      </w:r>
      <w:r w:rsidR="00D73E71">
        <w:rPr>
          <w:b/>
          <w:color w:val="000000"/>
          <w:szCs w:val="24"/>
        </w:rPr>
        <w:t>C</w:t>
      </w:r>
      <w:r w:rsidR="007A1C13">
        <w:rPr>
          <w:b/>
          <w:color w:val="000000"/>
          <w:szCs w:val="24"/>
        </w:rPr>
        <w:t>hanged</w:t>
      </w:r>
      <w:r w:rsidR="008820F4">
        <w:rPr>
          <w:b/>
          <w:color w:val="000000"/>
          <w:szCs w:val="24"/>
        </w:rPr>
        <w:t xml:space="preserve"> the </w:t>
      </w:r>
      <w:r w:rsidR="00D73E71">
        <w:rPr>
          <w:b/>
          <w:color w:val="000000"/>
          <w:szCs w:val="24"/>
        </w:rPr>
        <w:t>R</w:t>
      </w:r>
      <w:r w:rsidR="008820F4">
        <w:rPr>
          <w:b/>
          <w:color w:val="000000"/>
          <w:szCs w:val="24"/>
        </w:rPr>
        <w:t xml:space="preserve">elevant </w:t>
      </w:r>
      <w:r w:rsidR="00D73E71">
        <w:rPr>
          <w:b/>
          <w:color w:val="000000"/>
          <w:szCs w:val="24"/>
        </w:rPr>
        <w:t>S</w:t>
      </w:r>
      <w:r w:rsidR="008820F4">
        <w:rPr>
          <w:b/>
          <w:color w:val="000000"/>
          <w:szCs w:val="24"/>
        </w:rPr>
        <w:t xml:space="preserve">tatutory </w:t>
      </w:r>
      <w:r w:rsidR="00D73E71">
        <w:rPr>
          <w:b/>
          <w:color w:val="000000"/>
          <w:szCs w:val="24"/>
        </w:rPr>
        <w:t>T</w:t>
      </w:r>
      <w:r w:rsidR="008820F4">
        <w:rPr>
          <w:b/>
          <w:color w:val="000000"/>
          <w:szCs w:val="24"/>
        </w:rPr>
        <w:t xml:space="preserve">ext, </w:t>
      </w:r>
      <w:r w:rsidR="00D73E71">
        <w:rPr>
          <w:b/>
          <w:color w:val="000000"/>
          <w:szCs w:val="24"/>
        </w:rPr>
        <w:t>I</w:t>
      </w:r>
      <w:r w:rsidR="008820F4">
        <w:rPr>
          <w:b/>
          <w:color w:val="000000"/>
          <w:szCs w:val="24"/>
        </w:rPr>
        <w:t xml:space="preserve">ndicating </w:t>
      </w:r>
      <w:r w:rsidR="00D73E71">
        <w:rPr>
          <w:b/>
          <w:color w:val="000000"/>
          <w:szCs w:val="24"/>
        </w:rPr>
        <w:t>T</w:t>
      </w:r>
      <w:r w:rsidR="008820F4">
        <w:rPr>
          <w:b/>
          <w:color w:val="000000"/>
          <w:szCs w:val="24"/>
        </w:rPr>
        <w:t xml:space="preserve">hat the </w:t>
      </w:r>
      <w:r w:rsidR="00E16529">
        <w:rPr>
          <w:b/>
          <w:color w:val="000000"/>
          <w:szCs w:val="24"/>
        </w:rPr>
        <w:t xml:space="preserve">Second Circuit’s </w:t>
      </w:r>
      <w:r w:rsidR="00D73E71">
        <w:rPr>
          <w:b/>
          <w:color w:val="000000"/>
          <w:szCs w:val="24"/>
        </w:rPr>
        <w:t>V</w:t>
      </w:r>
      <w:r w:rsidR="00E16529">
        <w:rPr>
          <w:b/>
          <w:color w:val="000000"/>
          <w:szCs w:val="24"/>
        </w:rPr>
        <w:t>iew</w:t>
      </w:r>
      <w:r w:rsidR="008820F4">
        <w:rPr>
          <w:b/>
          <w:color w:val="000000"/>
          <w:szCs w:val="24"/>
        </w:rPr>
        <w:t xml:space="preserve"> is </w:t>
      </w:r>
      <w:r w:rsidR="00D73E71">
        <w:rPr>
          <w:b/>
          <w:color w:val="000000"/>
          <w:szCs w:val="24"/>
        </w:rPr>
        <w:t>N</w:t>
      </w:r>
      <w:r w:rsidR="008820F4">
        <w:rPr>
          <w:b/>
          <w:color w:val="000000"/>
          <w:szCs w:val="24"/>
        </w:rPr>
        <w:t xml:space="preserve">ot </w:t>
      </w:r>
      <w:r w:rsidR="00D73E71">
        <w:rPr>
          <w:b/>
          <w:color w:val="000000"/>
          <w:szCs w:val="24"/>
        </w:rPr>
        <w:t>I</w:t>
      </w:r>
      <w:r w:rsidR="008820F4">
        <w:rPr>
          <w:b/>
          <w:color w:val="000000"/>
          <w:szCs w:val="24"/>
        </w:rPr>
        <w:t xml:space="preserve">nconsistent </w:t>
      </w:r>
      <w:r w:rsidR="00D73E71">
        <w:rPr>
          <w:b/>
          <w:color w:val="000000"/>
          <w:szCs w:val="24"/>
        </w:rPr>
        <w:t>W</w:t>
      </w:r>
      <w:r w:rsidR="008820F4">
        <w:rPr>
          <w:b/>
          <w:color w:val="000000"/>
          <w:szCs w:val="24"/>
        </w:rPr>
        <w:t>ith th</w:t>
      </w:r>
      <w:r w:rsidR="00E16529">
        <w:rPr>
          <w:b/>
          <w:color w:val="000000"/>
          <w:szCs w:val="24"/>
        </w:rPr>
        <w:t xml:space="preserve">e </w:t>
      </w:r>
      <w:r w:rsidR="00D73E71">
        <w:rPr>
          <w:b/>
          <w:color w:val="000000"/>
          <w:szCs w:val="24"/>
        </w:rPr>
        <w:t>W</w:t>
      </w:r>
      <w:r w:rsidR="00E16529">
        <w:rPr>
          <w:b/>
          <w:color w:val="000000"/>
          <w:szCs w:val="24"/>
        </w:rPr>
        <w:t>ill of Congress</w:t>
      </w:r>
      <w:r w:rsidR="008820F4">
        <w:rPr>
          <w:b/>
          <w:color w:val="000000"/>
          <w:szCs w:val="24"/>
        </w:rPr>
        <w:t>.</w:t>
      </w:r>
    </w:p>
    <w:p w14:paraId="2CE41C7F" w14:textId="77777777" w:rsidR="006721D4" w:rsidRDefault="006721D4">
      <w:pPr>
        <w:widowControl/>
        <w:autoSpaceDE w:val="0"/>
        <w:rPr>
          <w:rFonts w:ascii="TimesNewRoman" w:hAnsi="TimesNewRoman" w:cs="TimesNewRoman"/>
          <w:bCs/>
          <w:szCs w:val="24"/>
        </w:rPr>
      </w:pPr>
    </w:p>
    <w:p w14:paraId="46260BE1" w14:textId="77777777" w:rsidR="006721D4" w:rsidRDefault="007A1C13">
      <w:pPr>
        <w:widowControl/>
        <w:autoSpaceDE w:val="0"/>
        <w:spacing w:line="480" w:lineRule="auto"/>
        <w:ind w:firstLine="720"/>
        <w:rPr>
          <w:color w:val="000000"/>
        </w:rPr>
      </w:pPr>
      <w:r>
        <w:t xml:space="preserve">The current circuit split has existed for </w:t>
      </w:r>
      <w:r w:rsidR="00AE3CB4">
        <w:t>17</w:t>
      </w:r>
      <w:r>
        <w:t xml:space="preserve"> years</w:t>
      </w:r>
      <w:r w:rsidR="0031288D">
        <w:t xml:space="preserve"> while</w:t>
      </w:r>
      <w:r>
        <w:t xml:space="preserve"> Congress</w:t>
      </w:r>
      <w:r w:rsidR="0031288D">
        <w:t xml:space="preserve"> has</w:t>
      </w:r>
      <w:r>
        <w:t xml:space="preserve"> enacting </w:t>
      </w:r>
      <w:r w:rsidR="00AE3CB4">
        <w:t>six</w:t>
      </w:r>
      <w:r>
        <w:t xml:space="preserve"> </w:t>
      </w:r>
      <w:r w:rsidR="0031288D">
        <w:t xml:space="preserve">different </w:t>
      </w:r>
      <w:r>
        <w:t>bills changing the copyright law</w:t>
      </w:r>
      <w:r w:rsidR="008C7DDC">
        <w:t xml:space="preserve">.  </w:t>
      </w:r>
      <w:r w:rsidR="008C7DDC">
        <w:rPr>
          <w:color w:val="000000"/>
        </w:rPr>
        <w:t>17 U.S.C.A. § 101 (West 2012)</w:t>
      </w:r>
      <w:r w:rsidR="008C7DDC">
        <w:t xml:space="preserve"> </w:t>
      </w:r>
      <w:proofErr w:type="gramStart"/>
      <w:r w:rsidR="008C7DDC">
        <w:t>These</w:t>
      </w:r>
      <w:proofErr w:type="gramEnd"/>
      <w:r w:rsidR="008C7DDC">
        <w:t xml:space="preserve"> laws included t</w:t>
      </w:r>
      <w:r w:rsidR="008C7DDC" w:rsidRPr="008C7DDC">
        <w:t>he Work Made For Hire and Copyright Corrections Act of 2000</w:t>
      </w:r>
      <w:r>
        <w:t>.</w:t>
      </w:r>
      <w:r w:rsidR="008C7DDC">
        <w:t xml:space="preserve"> </w:t>
      </w:r>
      <w:r w:rsidR="008C7DDC" w:rsidRPr="008C7DDC">
        <w:rPr>
          <w:i/>
        </w:rPr>
        <w:t>Id.</w:t>
      </w:r>
      <w:r>
        <w:t xml:space="preserve"> </w:t>
      </w:r>
      <w:r w:rsidR="008820F4">
        <w:t>If the Second Circuit had misinterpreted the will of Congress, Congress would presumably have correct</w:t>
      </w:r>
      <w:r>
        <w:t>ed</w:t>
      </w:r>
      <w:r w:rsidR="008820F4">
        <w:t xml:space="preserve"> the error when modifying other portions of the work-for-hire definition in § 101. Indeed</w:t>
      </w:r>
      <w:r w:rsidR="0031288D">
        <w:t>,</w:t>
      </w:r>
      <w:r w:rsidR="008820F4">
        <w:t xml:space="preserve"> Senator Cochran</w:t>
      </w:r>
      <w:r w:rsidR="008820F4">
        <w:rPr>
          <w:color w:val="000000"/>
        </w:rPr>
        <w:t xml:space="preserve"> of Mississippi has repeatedly introduced the “Artists Bill of Rights” into the record. </w:t>
      </w:r>
      <w:proofErr w:type="gramStart"/>
      <w:r w:rsidR="008820F4">
        <w:rPr>
          <w:color w:val="000000"/>
        </w:rPr>
        <w:t>135 Cong. Rec. S7341 (1989).</w:t>
      </w:r>
      <w:proofErr w:type="gramEnd"/>
      <w:r w:rsidR="008820F4">
        <w:rPr>
          <w:color w:val="000000"/>
        </w:rPr>
        <w:t xml:space="preserve"> He indicated that he has been urging adoption of this bill since 1982 to provide clarifying language to 17 U.S.C. </w:t>
      </w:r>
      <w:r w:rsidR="008820F4">
        <w:t>§ 101(2).</w:t>
      </w:r>
      <w:r w:rsidR="0031288D">
        <w:t xml:space="preserve"> </w:t>
      </w:r>
      <w:r w:rsidR="0031288D" w:rsidRPr="0031288D">
        <w:rPr>
          <w:i/>
        </w:rPr>
        <w:t>Id.</w:t>
      </w:r>
      <w:r w:rsidR="008820F4">
        <w:t xml:space="preserve"> His bill would to require “</w:t>
      </w:r>
      <w:r w:rsidR="008820F4">
        <w:rPr>
          <w:color w:val="000000"/>
        </w:rPr>
        <w:t xml:space="preserve">the parties expressly agree in a written instrument signed by them before commencement of the work, that the work shall be considered a work made for hire.” </w:t>
      </w:r>
      <w:r w:rsidR="00E16529" w:rsidRPr="00E16529">
        <w:rPr>
          <w:i/>
          <w:color w:val="000000"/>
        </w:rPr>
        <w:t>Id.</w:t>
      </w:r>
      <w:r w:rsidR="008820F4">
        <w:rPr>
          <w:color w:val="000000"/>
        </w:rPr>
        <w:t xml:space="preserve"> Despite Senator Cochran’s efforts, these ch</w:t>
      </w:r>
      <w:r w:rsidR="008C7DDC">
        <w:rPr>
          <w:color w:val="000000"/>
        </w:rPr>
        <w:t>anges were not included in the C</w:t>
      </w:r>
      <w:r w:rsidR="008820F4">
        <w:rPr>
          <w:color w:val="000000"/>
        </w:rPr>
        <w:t xml:space="preserve">orrections </w:t>
      </w:r>
      <w:r w:rsidR="008C7DDC">
        <w:rPr>
          <w:color w:val="000000"/>
        </w:rPr>
        <w:t>Act</w:t>
      </w:r>
      <w:r w:rsidR="008820F4">
        <w:rPr>
          <w:color w:val="000000"/>
        </w:rPr>
        <w:t xml:space="preserve"> </w:t>
      </w:r>
      <w:r w:rsidR="00E16529">
        <w:rPr>
          <w:color w:val="000000"/>
        </w:rPr>
        <w:t xml:space="preserve">or any of the other revisions to copyright </w:t>
      </w:r>
      <w:r w:rsidR="00DE22AC">
        <w:rPr>
          <w:color w:val="000000"/>
        </w:rPr>
        <w:t>law</w:t>
      </w:r>
      <w:r w:rsidR="008C7DDC">
        <w:rPr>
          <w:color w:val="000000"/>
        </w:rPr>
        <w:t>,</w:t>
      </w:r>
      <w:r w:rsidR="0044033D">
        <w:rPr>
          <w:color w:val="000000"/>
        </w:rPr>
        <w:t xml:space="preserve"> </w:t>
      </w:r>
      <w:r w:rsidR="008820F4">
        <w:rPr>
          <w:color w:val="000000"/>
        </w:rPr>
        <w:t xml:space="preserve">further validating the view that the prevailing Second Circuit’s opinion is consistent with the enacted will of Congress. </w:t>
      </w:r>
    </w:p>
    <w:p w14:paraId="3CA2851D" w14:textId="77777777" w:rsidR="00A74F5C" w:rsidRDefault="00A74F5C">
      <w:pPr>
        <w:widowControl/>
        <w:autoSpaceDE w:val="0"/>
        <w:spacing w:line="480" w:lineRule="auto"/>
        <w:ind w:firstLine="720"/>
        <w:rPr>
          <w:color w:val="000000"/>
        </w:rPr>
      </w:pPr>
    </w:p>
    <w:p w14:paraId="41D98339" w14:textId="77777777" w:rsidR="006721D4" w:rsidRDefault="008820F4">
      <w:pPr>
        <w:widowControl/>
        <w:spacing w:before="45" w:after="45"/>
        <w:ind w:right="75"/>
        <w:rPr>
          <w:b/>
          <w:color w:val="000000"/>
          <w:szCs w:val="24"/>
        </w:rPr>
      </w:pPr>
      <w:r>
        <w:rPr>
          <w:b/>
          <w:color w:val="000000"/>
          <w:szCs w:val="24"/>
        </w:rPr>
        <w:t>Defendants’ Approach Does Not Work in the Real World and is Bad Public Policy</w:t>
      </w:r>
    </w:p>
    <w:p w14:paraId="508C0BCE" w14:textId="77777777" w:rsidR="006721D4" w:rsidRDefault="008820F4">
      <w:pPr>
        <w:pStyle w:val="BodyTextIndent"/>
        <w:spacing w:before="240" w:line="480" w:lineRule="auto"/>
        <w:ind w:firstLine="720"/>
        <w:rPr>
          <w:szCs w:val="24"/>
          <w:u w:val="none"/>
        </w:rPr>
      </w:pPr>
      <w:r>
        <w:rPr>
          <w:szCs w:val="24"/>
          <w:u w:val="none"/>
        </w:rPr>
        <w:t xml:space="preserve">The requirement for a prior signed agreement is contrary to public policy for several reasons: 1) It renders significant bodies of work </w:t>
      </w:r>
      <w:r w:rsidR="00135C6D">
        <w:rPr>
          <w:szCs w:val="24"/>
          <w:u w:val="none"/>
        </w:rPr>
        <w:t>unsalable</w:t>
      </w:r>
      <w:r>
        <w:rPr>
          <w:szCs w:val="24"/>
          <w:u w:val="none"/>
        </w:rPr>
        <w:t xml:space="preserve">, 2) It reduces the </w:t>
      </w:r>
      <w:r w:rsidR="007A1C13">
        <w:rPr>
          <w:szCs w:val="24"/>
          <w:u w:val="none"/>
        </w:rPr>
        <w:lastRenderedPageBreak/>
        <w:t xml:space="preserve">immediate </w:t>
      </w:r>
      <w:r>
        <w:rPr>
          <w:szCs w:val="24"/>
          <w:u w:val="none"/>
        </w:rPr>
        <w:t>payment received by contractors, and 3) it does not provide adequate notification to good faith actors that their transactions will not be honored.</w:t>
      </w:r>
    </w:p>
    <w:p w14:paraId="27ADBF78" w14:textId="77777777" w:rsidR="006721D4" w:rsidRDefault="008820F4" w:rsidP="00D51A1A">
      <w:pPr>
        <w:pStyle w:val="BodyTextIndent"/>
        <w:spacing w:after="240" w:line="480" w:lineRule="auto"/>
        <w:ind w:firstLine="720"/>
        <w:rPr>
          <w:szCs w:val="24"/>
          <w:u w:val="none"/>
        </w:rPr>
      </w:pPr>
      <w:r>
        <w:rPr>
          <w:szCs w:val="24"/>
          <w:u w:val="none"/>
        </w:rPr>
        <w:t xml:space="preserve">The industry norm is to purchase components of a collective work as work-made-for-hire </w:t>
      </w:r>
      <w:r w:rsidR="00D51A1A">
        <w:rPr>
          <w:szCs w:val="24"/>
          <w:u w:val="none"/>
        </w:rPr>
        <w:t>Marci</w:t>
      </w:r>
      <w:r w:rsidR="00D51A1A" w:rsidRPr="00D51A1A">
        <w:rPr>
          <w:szCs w:val="24"/>
          <w:u w:val="none"/>
        </w:rPr>
        <w:t xml:space="preserve"> Hamilton</w:t>
      </w:r>
      <w:r w:rsidR="00D51A1A">
        <w:rPr>
          <w:szCs w:val="24"/>
          <w:u w:val="none"/>
        </w:rPr>
        <w:t xml:space="preserve">, Comment, </w:t>
      </w:r>
      <w:r w:rsidR="00D51A1A" w:rsidRPr="00D51A1A">
        <w:rPr>
          <w:i/>
          <w:szCs w:val="24"/>
          <w:u w:val="none"/>
        </w:rPr>
        <w:t>Commissioned Works as Works Made for Hire Under the 1976 Copyright Act: Misinterpretation and Injustice</w:t>
      </w:r>
      <w:r w:rsidR="00D51A1A">
        <w:rPr>
          <w:szCs w:val="24"/>
          <w:u w:val="none"/>
        </w:rPr>
        <w:t>,</w:t>
      </w:r>
      <w:r w:rsidR="00D51A1A" w:rsidRPr="00D51A1A">
        <w:rPr>
          <w:szCs w:val="24"/>
          <w:u w:val="none"/>
        </w:rPr>
        <w:t xml:space="preserve"> 135 UPALR 1281</w:t>
      </w:r>
      <w:r w:rsidR="00D51A1A">
        <w:rPr>
          <w:szCs w:val="24"/>
          <w:u w:val="none"/>
        </w:rPr>
        <w:t>, 1309-10 (1987).</w:t>
      </w:r>
      <w:r>
        <w:rPr>
          <w:szCs w:val="24"/>
          <w:u w:val="none"/>
        </w:rPr>
        <w:t xml:space="preserve"> This is due to the risky nature of projects in the entertainment industry, similar to pharmaceuticals, venture capital, or other industries where the few successful products bankroll the majority of unsuccessful ones. That model requires that the upside be owned by the capitalizing party in order to pay for unsuccessful projects. Allowing the authors of successful scripts </w:t>
      </w:r>
      <w:proofErr w:type="spellStart"/>
      <w:r>
        <w:rPr>
          <w:szCs w:val="24"/>
          <w:u w:val="none"/>
        </w:rPr>
        <w:t>revert</w:t>
      </w:r>
      <w:r w:rsidR="00DE22AC">
        <w:rPr>
          <w:szCs w:val="24"/>
          <w:u w:val="none"/>
        </w:rPr>
        <w:t>er</w:t>
      </w:r>
      <w:proofErr w:type="spellEnd"/>
      <w:r>
        <w:rPr>
          <w:szCs w:val="24"/>
          <w:u w:val="none"/>
        </w:rPr>
        <w:t xml:space="preserve"> rights prevent</w:t>
      </w:r>
      <w:r w:rsidR="00DE22AC">
        <w:rPr>
          <w:szCs w:val="24"/>
          <w:u w:val="none"/>
        </w:rPr>
        <w:t>s</w:t>
      </w:r>
      <w:r>
        <w:rPr>
          <w:szCs w:val="24"/>
          <w:u w:val="none"/>
        </w:rPr>
        <w:t xml:space="preserve"> the firm from capturing the upside</w:t>
      </w:r>
      <w:r w:rsidR="00DE22AC">
        <w:rPr>
          <w:szCs w:val="24"/>
          <w:u w:val="none"/>
        </w:rPr>
        <w:t xml:space="preserve"> gain of successful projects</w:t>
      </w:r>
      <w:r>
        <w:rPr>
          <w:szCs w:val="24"/>
          <w:u w:val="none"/>
        </w:rPr>
        <w:t xml:space="preserve">.  Unlike a book or sculpture, the reverting author </w:t>
      </w:r>
      <w:r w:rsidR="00DE22AC">
        <w:rPr>
          <w:szCs w:val="24"/>
          <w:u w:val="none"/>
        </w:rPr>
        <w:t>can</w:t>
      </w:r>
      <w:r>
        <w:rPr>
          <w:szCs w:val="24"/>
          <w:u w:val="none"/>
        </w:rPr>
        <w:t xml:space="preserve"> not provide work to the public but instead prevents the other authors</w:t>
      </w:r>
      <w:r w:rsidR="00DE22AC">
        <w:rPr>
          <w:szCs w:val="24"/>
          <w:u w:val="none"/>
        </w:rPr>
        <w:t xml:space="preserve"> of the collaborative work</w:t>
      </w:r>
      <w:r>
        <w:rPr>
          <w:szCs w:val="24"/>
          <w:u w:val="none"/>
        </w:rPr>
        <w:t xml:space="preserve"> from benefiting from their work. If the defendant’s approach is taken, component portions produced outside of prior agreements will have minimal to no value as no capital source will fund a project with all the risk and none of the upside. The result will be to effectively eliminate the market for such independently created work</w:t>
      </w:r>
      <w:r w:rsidR="009A3DA5">
        <w:rPr>
          <w:szCs w:val="24"/>
          <w:u w:val="none"/>
        </w:rPr>
        <w:t xml:space="preserve">.  Elmer Bernstein, a preeminent composer, </w:t>
      </w:r>
      <w:r w:rsidR="007430C6">
        <w:rPr>
          <w:szCs w:val="24"/>
          <w:u w:val="none"/>
        </w:rPr>
        <w:t xml:space="preserve">stated </w:t>
      </w:r>
      <w:r w:rsidR="009A3DA5">
        <w:rPr>
          <w:szCs w:val="24"/>
          <w:u w:val="none"/>
        </w:rPr>
        <w:t xml:space="preserve">that he would not be able to sell his work </w:t>
      </w:r>
      <w:r w:rsidR="008C7DDC">
        <w:rPr>
          <w:szCs w:val="24"/>
          <w:u w:val="none"/>
        </w:rPr>
        <w:t>if he refused to sign</w:t>
      </w:r>
      <w:r w:rsidR="009A3DA5">
        <w:rPr>
          <w:szCs w:val="24"/>
          <w:u w:val="none"/>
        </w:rPr>
        <w:t xml:space="preserve"> work-made-for-hire clause</w:t>
      </w:r>
      <w:r w:rsidR="008C7DDC">
        <w:rPr>
          <w:szCs w:val="24"/>
          <w:u w:val="none"/>
        </w:rPr>
        <w:t>s in contacts</w:t>
      </w:r>
      <w:r w:rsidR="009A3DA5">
        <w:rPr>
          <w:szCs w:val="24"/>
          <w:u w:val="none"/>
        </w:rPr>
        <w:t>.</w:t>
      </w:r>
      <w:r w:rsidR="00D51A1A">
        <w:rPr>
          <w:szCs w:val="24"/>
          <w:u w:val="none"/>
        </w:rPr>
        <w:t xml:space="preserve"> </w:t>
      </w:r>
      <w:proofErr w:type="gramStart"/>
      <w:r w:rsidR="00D51A1A" w:rsidRPr="00D51A1A">
        <w:rPr>
          <w:i/>
          <w:szCs w:val="24"/>
          <w:u w:val="none"/>
        </w:rPr>
        <w:t>Id</w:t>
      </w:r>
      <w:r w:rsidR="00D51A1A">
        <w:rPr>
          <w:szCs w:val="24"/>
          <w:u w:val="none"/>
        </w:rPr>
        <w:t xml:space="preserve"> at 1309</w:t>
      </w:r>
      <w:r>
        <w:rPr>
          <w:szCs w:val="24"/>
          <w:u w:val="none"/>
        </w:rPr>
        <w:t>.</w:t>
      </w:r>
      <w:proofErr w:type="gramEnd"/>
      <w:r w:rsidR="009A3DA5">
        <w:rPr>
          <w:szCs w:val="24"/>
          <w:u w:val="none"/>
        </w:rPr>
        <w:t xml:space="preserve"> </w:t>
      </w:r>
      <w:proofErr w:type="gramStart"/>
      <w:r w:rsidR="008C7DDC">
        <w:rPr>
          <w:szCs w:val="24"/>
          <w:u w:val="none"/>
        </w:rPr>
        <w:t xml:space="preserve">And that </w:t>
      </w:r>
      <w:r w:rsidR="009A3DA5">
        <w:rPr>
          <w:szCs w:val="24"/>
          <w:u w:val="none"/>
        </w:rPr>
        <w:t>he would “have to consider some other field of work” besides composing.</w:t>
      </w:r>
      <w:proofErr w:type="gramEnd"/>
    </w:p>
    <w:p w14:paraId="4F972C12" w14:textId="77777777" w:rsidR="006721D4" w:rsidRDefault="00DE22AC" w:rsidP="00135C6D">
      <w:pPr>
        <w:pStyle w:val="BodyTextIndent"/>
        <w:spacing w:after="240" w:line="480" w:lineRule="auto"/>
        <w:ind w:firstLine="720"/>
        <w:rPr>
          <w:szCs w:val="24"/>
          <w:u w:val="none"/>
        </w:rPr>
      </w:pPr>
      <w:r>
        <w:rPr>
          <w:szCs w:val="24"/>
          <w:u w:val="none"/>
        </w:rPr>
        <w:t xml:space="preserve">Judge </w:t>
      </w:r>
      <w:r w:rsidR="007430C6">
        <w:rPr>
          <w:szCs w:val="24"/>
          <w:u w:val="none"/>
        </w:rPr>
        <w:t xml:space="preserve">Posner and </w:t>
      </w:r>
      <w:r w:rsidR="00135C6D">
        <w:rPr>
          <w:szCs w:val="24"/>
          <w:u w:val="none"/>
        </w:rPr>
        <w:t xml:space="preserve">William </w:t>
      </w:r>
      <w:proofErr w:type="spellStart"/>
      <w:r w:rsidR="00135C6D">
        <w:rPr>
          <w:szCs w:val="24"/>
          <w:u w:val="none"/>
        </w:rPr>
        <w:t>Landes</w:t>
      </w:r>
      <w:proofErr w:type="spellEnd"/>
      <w:r w:rsidR="00135C6D">
        <w:rPr>
          <w:szCs w:val="24"/>
          <w:u w:val="none"/>
        </w:rPr>
        <w:t xml:space="preserve"> at the</w:t>
      </w:r>
      <w:r w:rsidR="008820F4">
        <w:rPr>
          <w:szCs w:val="24"/>
          <w:u w:val="none"/>
        </w:rPr>
        <w:t xml:space="preserve"> University of Chicago have written on the economics of copyright</w:t>
      </w:r>
      <w:r>
        <w:rPr>
          <w:szCs w:val="24"/>
          <w:u w:val="none"/>
        </w:rPr>
        <w:t>.</w:t>
      </w:r>
      <w:r w:rsidR="00135C6D">
        <w:rPr>
          <w:szCs w:val="24"/>
          <w:u w:val="none"/>
        </w:rPr>
        <w:t xml:space="preserve"> </w:t>
      </w:r>
      <w:r w:rsidR="00135C6D" w:rsidRPr="00135C6D">
        <w:rPr>
          <w:szCs w:val="24"/>
          <w:u w:val="none"/>
        </w:rPr>
        <w:t xml:space="preserve">William </w:t>
      </w:r>
      <w:proofErr w:type="spellStart"/>
      <w:r w:rsidR="00135C6D">
        <w:rPr>
          <w:szCs w:val="24"/>
          <w:u w:val="none"/>
        </w:rPr>
        <w:t>Landes</w:t>
      </w:r>
      <w:proofErr w:type="spellEnd"/>
      <w:r w:rsidR="00135C6D">
        <w:rPr>
          <w:szCs w:val="24"/>
          <w:u w:val="none"/>
        </w:rPr>
        <w:t xml:space="preserve"> and Richard Posner, </w:t>
      </w:r>
      <w:r w:rsidR="00135C6D" w:rsidRPr="00135C6D">
        <w:rPr>
          <w:i/>
          <w:szCs w:val="24"/>
          <w:u w:val="none"/>
        </w:rPr>
        <w:t>An Economic Analysis of Copyright Law,</w:t>
      </w:r>
      <w:r w:rsidR="00135C6D">
        <w:rPr>
          <w:szCs w:val="24"/>
          <w:u w:val="none"/>
        </w:rPr>
        <w:t xml:space="preserve"> </w:t>
      </w:r>
      <w:r w:rsidR="00135C6D" w:rsidRPr="00135C6D">
        <w:rPr>
          <w:szCs w:val="24"/>
          <w:u w:val="none"/>
        </w:rPr>
        <w:t xml:space="preserve">18 J. </w:t>
      </w:r>
      <w:proofErr w:type="gramStart"/>
      <w:r w:rsidR="00135C6D" w:rsidRPr="00135C6D">
        <w:rPr>
          <w:szCs w:val="24"/>
          <w:u w:val="none"/>
        </w:rPr>
        <w:t>Leg</w:t>
      </w:r>
      <w:proofErr w:type="gramEnd"/>
      <w:r w:rsidR="00135C6D" w:rsidRPr="00135C6D">
        <w:rPr>
          <w:szCs w:val="24"/>
          <w:u w:val="none"/>
        </w:rPr>
        <w:t xml:space="preserve">. Stud. </w:t>
      </w:r>
      <w:proofErr w:type="gramStart"/>
      <w:r w:rsidR="00135C6D" w:rsidRPr="00135C6D">
        <w:rPr>
          <w:szCs w:val="24"/>
          <w:u w:val="none"/>
        </w:rPr>
        <w:t>325 (1989)</w:t>
      </w:r>
      <w:r w:rsidR="00135C6D">
        <w:rPr>
          <w:szCs w:val="24"/>
          <w:u w:val="none"/>
        </w:rPr>
        <w:t xml:space="preserve"> available at </w:t>
      </w:r>
      <w:hyperlink r:id="rId7" w:history="1">
        <w:r w:rsidR="00135C6D" w:rsidRPr="00C96389">
          <w:rPr>
            <w:rStyle w:val="Hyperlink"/>
            <w:szCs w:val="24"/>
          </w:rPr>
          <w:t>http://cyber.law.harvard.edu/IPCoop/89land1.html</w:t>
        </w:r>
      </w:hyperlink>
      <w:r w:rsidR="008820F4">
        <w:rPr>
          <w:szCs w:val="24"/>
          <w:u w:val="none"/>
        </w:rPr>
        <w:t>.</w:t>
      </w:r>
      <w:proofErr w:type="gramEnd"/>
      <w:r w:rsidR="008820F4">
        <w:rPr>
          <w:szCs w:val="24"/>
          <w:u w:val="none"/>
        </w:rPr>
        <w:t xml:space="preserve">  </w:t>
      </w:r>
      <w:r w:rsidR="00135C6D">
        <w:rPr>
          <w:szCs w:val="24"/>
          <w:u w:val="none"/>
        </w:rPr>
        <w:t>They indicate disallowing work-for-</w:t>
      </w:r>
      <w:r w:rsidR="00135C6D">
        <w:rPr>
          <w:szCs w:val="24"/>
          <w:u w:val="none"/>
        </w:rPr>
        <w:lastRenderedPageBreak/>
        <w:t>hire transfers and requiring reversion rights “</w:t>
      </w:r>
      <w:r w:rsidR="00135C6D" w:rsidRPr="00135C6D">
        <w:rPr>
          <w:szCs w:val="24"/>
          <w:u w:val="none"/>
        </w:rPr>
        <w:t>reduce the incentive to create by preventing the author or artist from shifting risk to the publisher or dealer. A publisher who must share any future speculative gains with the author will pay the author less for the work, so the risky component of the author’s expected remuneration will increase re</w:t>
      </w:r>
      <w:r w:rsidR="00135C6D">
        <w:rPr>
          <w:szCs w:val="24"/>
          <w:u w:val="none"/>
        </w:rPr>
        <w:t>lative to the certain component</w:t>
      </w:r>
      <w:r w:rsidR="00135C6D" w:rsidRPr="00135C6D">
        <w:rPr>
          <w:szCs w:val="24"/>
          <w:u w:val="none"/>
        </w:rPr>
        <w:t>.</w:t>
      </w:r>
      <w:r w:rsidR="00135C6D">
        <w:rPr>
          <w:szCs w:val="24"/>
          <w:u w:val="none"/>
        </w:rPr>
        <w:t>”</w:t>
      </w:r>
      <w:r w:rsidR="008820F4">
        <w:rPr>
          <w:szCs w:val="24"/>
          <w:u w:val="none"/>
        </w:rPr>
        <w:t xml:space="preserve"> Currently, authors </w:t>
      </w:r>
      <w:r>
        <w:rPr>
          <w:szCs w:val="24"/>
          <w:u w:val="none"/>
        </w:rPr>
        <w:t>able</w:t>
      </w:r>
      <w:r w:rsidR="008820F4">
        <w:rPr>
          <w:szCs w:val="24"/>
          <w:u w:val="none"/>
        </w:rPr>
        <w:t xml:space="preserve"> to sell their work including all future rights (as a work-made-for-hire) are able to achieve the maximum present return on their work. In the case before us, Lime sold a screenplay developed in 5 days or less for $6,000. The payment for such services depends on what rights are transferred. The work-made-for-hire bundle </w:t>
      </w:r>
      <w:r>
        <w:rPr>
          <w:szCs w:val="24"/>
          <w:u w:val="none"/>
        </w:rPr>
        <w:t xml:space="preserve">of rights </w:t>
      </w:r>
      <w:r w:rsidR="008820F4">
        <w:rPr>
          <w:szCs w:val="24"/>
          <w:u w:val="none"/>
        </w:rPr>
        <w:t>includes all present and future rights to the work. The all assignable rights bundle includes all present and future rights until the re</w:t>
      </w:r>
      <w:r w:rsidR="00BC7DB1">
        <w:rPr>
          <w:szCs w:val="24"/>
          <w:u w:val="none"/>
        </w:rPr>
        <w:t>vision in § 203</w:t>
      </w:r>
      <w:r w:rsidR="008820F4">
        <w:rPr>
          <w:szCs w:val="24"/>
          <w:u w:val="none"/>
        </w:rPr>
        <w:t>. It is obvious that this include</w:t>
      </w:r>
      <w:r>
        <w:rPr>
          <w:szCs w:val="24"/>
          <w:u w:val="none"/>
        </w:rPr>
        <w:t>s</w:t>
      </w:r>
      <w:r w:rsidR="00BC7DB1">
        <w:rPr>
          <w:szCs w:val="24"/>
          <w:u w:val="none"/>
        </w:rPr>
        <w:t xml:space="preserve"> fewer </w:t>
      </w:r>
      <w:r w:rsidR="00BC7DB1" w:rsidRPr="00C12AF1">
        <w:rPr>
          <w:szCs w:val="24"/>
          <w:u w:val="none"/>
        </w:rPr>
        <w:t>rights tha</w:t>
      </w:r>
      <w:r w:rsidR="00C12AF1" w:rsidRPr="00C12AF1">
        <w:rPr>
          <w:szCs w:val="24"/>
          <w:u w:val="none"/>
        </w:rPr>
        <w:t>n</w:t>
      </w:r>
      <w:r w:rsidR="00BC7DB1">
        <w:rPr>
          <w:szCs w:val="24"/>
          <w:u w:val="none"/>
        </w:rPr>
        <w:t xml:space="preserve"> the work</w:t>
      </w:r>
      <w:r w:rsidR="008820F4">
        <w:rPr>
          <w:szCs w:val="24"/>
          <w:u w:val="none"/>
        </w:rPr>
        <w:t>-for-hire bundle and will thus command a lower price</w:t>
      </w:r>
      <w:r>
        <w:rPr>
          <w:szCs w:val="24"/>
          <w:u w:val="none"/>
        </w:rPr>
        <w:t xml:space="preserve"> in a market</w:t>
      </w:r>
      <w:r w:rsidR="008820F4">
        <w:rPr>
          <w:szCs w:val="24"/>
          <w:u w:val="none"/>
        </w:rPr>
        <w:t xml:space="preserve">. Indeed </w:t>
      </w:r>
      <w:r w:rsidR="00BC7DB1">
        <w:rPr>
          <w:szCs w:val="24"/>
          <w:u w:val="none"/>
        </w:rPr>
        <w:t xml:space="preserve">the smallest bundle of rights, </w:t>
      </w:r>
      <w:r w:rsidR="008820F4">
        <w:rPr>
          <w:szCs w:val="24"/>
          <w:u w:val="none"/>
        </w:rPr>
        <w:t>the right to view the produced screenplay</w:t>
      </w:r>
      <w:r w:rsidR="00BC7DB1">
        <w:rPr>
          <w:szCs w:val="24"/>
          <w:u w:val="none"/>
        </w:rPr>
        <w:t>,</w:t>
      </w:r>
      <w:r w:rsidR="008820F4">
        <w:rPr>
          <w:szCs w:val="24"/>
          <w:u w:val="none"/>
        </w:rPr>
        <w:t xml:space="preserve"> can be </w:t>
      </w:r>
      <w:r>
        <w:rPr>
          <w:szCs w:val="24"/>
          <w:u w:val="none"/>
        </w:rPr>
        <w:t xml:space="preserve">purchased for as </w:t>
      </w:r>
      <w:r w:rsidR="008820F4">
        <w:rPr>
          <w:szCs w:val="24"/>
          <w:u w:val="none"/>
        </w:rPr>
        <w:t>litt</w:t>
      </w:r>
      <w:r w:rsidR="00E31F10">
        <w:rPr>
          <w:szCs w:val="24"/>
          <w:u w:val="none"/>
        </w:rPr>
        <w:t>le as 1.3 cents</w:t>
      </w:r>
      <w:r>
        <w:rPr>
          <w:szCs w:val="24"/>
          <w:u w:val="none"/>
        </w:rPr>
        <w:t>.</w:t>
      </w:r>
      <w:r w:rsidR="00E31F10">
        <w:rPr>
          <w:szCs w:val="24"/>
          <w:u w:val="none"/>
        </w:rPr>
        <w:t xml:space="preserve"> </w:t>
      </w:r>
      <w:proofErr w:type="gramStart"/>
      <w:r>
        <w:rPr>
          <w:szCs w:val="24"/>
          <w:u w:val="none"/>
        </w:rPr>
        <w:t>B</w:t>
      </w:r>
      <w:r w:rsidR="00E31F10">
        <w:rPr>
          <w:szCs w:val="24"/>
          <w:u w:val="none"/>
        </w:rPr>
        <w:t xml:space="preserve">log post </w:t>
      </w:r>
      <w:r>
        <w:rPr>
          <w:szCs w:val="24"/>
          <w:u w:val="none"/>
        </w:rPr>
        <w:t xml:space="preserve">on 20 Mar 2012 </w:t>
      </w:r>
      <w:r w:rsidR="00E31F10" w:rsidRPr="00E31F10">
        <w:rPr>
          <w:u w:val="none"/>
        </w:rPr>
        <w:t xml:space="preserve">at </w:t>
      </w:r>
      <w:hyperlink r:id="rId8" w:history="1">
        <w:r w:rsidR="00E31F10" w:rsidRPr="00C96389">
          <w:rPr>
            <w:rStyle w:val="Hyperlink"/>
            <w:szCs w:val="24"/>
          </w:rPr>
          <w:t>http://truckandbarter.com/2010/04/how-much-does-h.html</w:t>
        </w:r>
      </w:hyperlink>
      <w:r w:rsidR="008820F4">
        <w:rPr>
          <w:szCs w:val="24"/>
          <w:u w:val="none"/>
        </w:rPr>
        <w:t>.</w:t>
      </w:r>
      <w:proofErr w:type="gramEnd"/>
      <w:r w:rsidR="008820F4">
        <w:rPr>
          <w:szCs w:val="24"/>
          <w:u w:val="none"/>
        </w:rPr>
        <w:t xml:space="preserve"> The result of the defendants’ approach is to reduce present payments to creators while giving them a high risk, non-transferable future interest. A similar policy could be achieved by requiring all creators to </w:t>
      </w:r>
      <w:r>
        <w:rPr>
          <w:szCs w:val="24"/>
          <w:u w:val="none"/>
        </w:rPr>
        <w:t>take</w:t>
      </w:r>
      <w:r w:rsidR="008820F4">
        <w:rPr>
          <w:szCs w:val="24"/>
          <w:u w:val="none"/>
        </w:rPr>
        <w:t xml:space="preserve"> 10% of their payment in lottery </w:t>
      </w:r>
      <w:r w:rsidR="00E31F10">
        <w:rPr>
          <w:szCs w:val="24"/>
          <w:u w:val="none"/>
        </w:rPr>
        <w:t xml:space="preserve">tickets. </w:t>
      </w:r>
      <w:r>
        <w:rPr>
          <w:szCs w:val="24"/>
          <w:u w:val="none"/>
        </w:rPr>
        <w:t>It is not clear what economic advantages come from forcing creators to take high risk future payment instead of non-speculative present payment</w:t>
      </w:r>
      <w:r w:rsidR="008820F4">
        <w:rPr>
          <w:szCs w:val="24"/>
          <w:u w:val="none"/>
        </w:rPr>
        <w:t>.</w:t>
      </w:r>
    </w:p>
    <w:p w14:paraId="75828155" w14:textId="77777777" w:rsidR="006721D4" w:rsidRDefault="008820F4" w:rsidP="00A74F5C">
      <w:pPr>
        <w:pStyle w:val="BodyTextIndent"/>
        <w:spacing w:after="240" w:line="480" w:lineRule="auto"/>
        <w:ind w:firstLine="720"/>
        <w:rPr>
          <w:szCs w:val="24"/>
          <w:u w:val="none"/>
        </w:rPr>
      </w:pPr>
      <w:r>
        <w:rPr>
          <w:szCs w:val="24"/>
          <w:u w:val="none"/>
        </w:rPr>
        <w:t xml:space="preserve">The current wording does not provide notice for good faith actors that their contracts will be upheld.  Review of the Copyright Office’s website and literature does not reveal that the requirement must be signed </w:t>
      </w:r>
      <w:r>
        <w:rPr>
          <w:b/>
          <w:szCs w:val="24"/>
          <w:u w:val="none"/>
        </w:rPr>
        <w:t>in advance</w:t>
      </w:r>
      <w:r>
        <w:rPr>
          <w:szCs w:val="24"/>
          <w:u w:val="none"/>
        </w:rPr>
        <w:t xml:space="preserve"> to </w:t>
      </w:r>
      <w:r w:rsidR="008665AF">
        <w:rPr>
          <w:szCs w:val="24"/>
          <w:u w:val="none"/>
        </w:rPr>
        <w:t xml:space="preserve">the creation of the work. Review on 20 Mar 2012 of Copyright.gov including all FAQs, information circulars, fact </w:t>
      </w:r>
      <w:r w:rsidR="001D698D">
        <w:rPr>
          <w:szCs w:val="24"/>
          <w:u w:val="none"/>
        </w:rPr>
        <w:lastRenderedPageBreak/>
        <w:t xml:space="preserve">sheets, and </w:t>
      </w:r>
      <w:r w:rsidR="008665AF">
        <w:rPr>
          <w:szCs w:val="24"/>
          <w:u w:val="none"/>
        </w:rPr>
        <w:t xml:space="preserve">reports. </w:t>
      </w:r>
      <w:r>
        <w:rPr>
          <w:szCs w:val="24"/>
          <w:u w:val="none"/>
        </w:rPr>
        <w:t xml:space="preserve">Similarly </w:t>
      </w:r>
      <w:r w:rsidR="008665AF">
        <w:rPr>
          <w:szCs w:val="24"/>
          <w:u w:val="none"/>
        </w:rPr>
        <w:t xml:space="preserve">the federal </w:t>
      </w:r>
      <w:r w:rsidR="009A3DA5">
        <w:rPr>
          <w:szCs w:val="24"/>
          <w:u w:val="none"/>
        </w:rPr>
        <w:t xml:space="preserve">appeals </w:t>
      </w:r>
      <w:r>
        <w:rPr>
          <w:szCs w:val="24"/>
          <w:u w:val="none"/>
        </w:rPr>
        <w:t xml:space="preserve">circuits containing expert </w:t>
      </w:r>
      <w:r w:rsidRPr="008C7DDC">
        <w:rPr>
          <w:szCs w:val="24"/>
          <w:u w:val="none"/>
        </w:rPr>
        <w:t>judges have not reached a consistent conclusion as to what is required to create a binding work-for-hire agreement</w:t>
      </w:r>
      <w:r w:rsidR="008665AF" w:rsidRPr="008C7DDC">
        <w:rPr>
          <w:szCs w:val="24"/>
          <w:u w:val="none"/>
        </w:rPr>
        <w:t xml:space="preserve"> with respect to the timing of the signature</w:t>
      </w:r>
      <w:r w:rsidRPr="008C7DDC">
        <w:rPr>
          <w:szCs w:val="24"/>
          <w:u w:val="none"/>
        </w:rPr>
        <w:t xml:space="preserve">.  In the absence of clear </w:t>
      </w:r>
      <w:r w:rsidR="009A3DA5" w:rsidRPr="008C7DDC">
        <w:rPr>
          <w:szCs w:val="24"/>
          <w:u w:val="none"/>
        </w:rPr>
        <w:t>notice as to the law</w:t>
      </w:r>
      <w:r w:rsidRPr="008C7DDC">
        <w:rPr>
          <w:szCs w:val="24"/>
          <w:u w:val="none"/>
        </w:rPr>
        <w:t>, th</w:t>
      </w:r>
      <w:r w:rsidR="008665AF" w:rsidRPr="008C7DDC">
        <w:rPr>
          <w:szCs w:val="24"/>
          <w:u w:val="none"/>
        </w:rPr>
        <w:t>is</w:t>
      </w:r>
      <w:r w:rsidRPr="008C7DDC">
        <w:rPr>
          <w:szCs w:val="24"/>
          <w:u w:val="none"/>
        </w:rPr>
        <w:t xml:space="preserve"> court</w:t>
      </w:r>
      <w:r>
        <w:rPr>
          <w:szCs w:val="24"/>
          <w:u w:val="none"/>
        </w:rPr>
        <w:t xml:space="preserve"> must </w:t>
      </w:r>
      <w:r w:rsidR="008C7DDC">
        <w:rPr>
          <w:szCs w:val="24"/>
          <w:u w:val="none"/>
        </w:rPr>
        <w:t>uphold</w:t>
      </w:r>
      <w:r>
        <w:rPr>
          <w:szCs w:val="24"/>
          <w:u w:val="none"/>
        </w:rPr>
        <w:t xml:space="preserve"> the </w:t>
      </w:r>
      <w:r w:rsidR="008C7DDC">
        <w:rPr>
          <w:szCs w:val="24"/>
          <w:u w:val="none"/>
        </w:rPr>
        <w:t>contract</w:t>
      </w:r>
      <w:r>
        <w:rPr>
          <w:szCs w:val="24"/>
          <w:u w:val="none"/>
        </w:rPr>
        <w:t xml:space="preserve"> </w:t>
      </w:r>
      <w:r w:rsidR="008C7DDC">
        <w:rPr>
          <w:szCs w:val="24"/>
          <w:u w:val="none"/>
        </w:rPr>
        <w:t>reached by the</w:t>
      </w:r>
      <w:r>
        <w:rPr>
          <w:szCs w:val="24"/>
          <w:u w:val="none"/>
        </w:rPr>
        <w:t xml:space="preserve"> parties.  </w:t>
      </w:r>
    </w:p>
    <w:p w14:paraId="2AA88F12" w14:textId="77777777" w:rsidR="006721D4" w:rsidRDefault="008820F4">
      <w:pPr>
        <w:widowControl/>
        <w:spacing w:before="45" w:after="45"/>
        <w:ind w:right="75"/>
        <w:rPr>
          <w:b/>
          <w:color w:val="000000"/>
          <w:szCs w:val="24"/>
        </w:rPr>
      </w:pPr>
      <w:r>
        <w:rPr>
          <w:b/>
          <w:color w:val="000000"/>
          <w:szCs w:val="24"/>
        </w:rPr>
        <w:t>Finding for the Defendants Rewards Unethical Behavior.</w:t>
      </w:r>
    </w:p>
    <w:p w14:paraId="1F855C50" w14:textId="77777777" w:rsidR="006721D4" w:rsidRDefault="008820F4" w:rsidP="00A74F5C">
      <w:pPr>
        <w:pStyle w:val="BodyTextIndent"/>
        <w:spacing w:before="240" w:after="240" w:line="480" w:lineRule="auto"/>
        <w:ind w:firstLine="720"/>
        <w:rPr>
          <w:szCs w:val="24"/>
          <w:u w:val="none"/>
        </w:rPr>
      </w:pPr>
      <w:r>
        <w:rPr>
          <w:szCs w:val="24"/>
          <w:u w:val="none"/>
        </w:rPr>
        <w:t xml:space="preserve">While the question of law presented by this case is interesting it will </w:t>
      </w:r>
      <w:r w:rsidR="00AE3CB4">
        <w:rPr>
          <w:szCs w:val="24"/>
          <w:u w:val="none"/>
        </w:rPr>
        <w:t xml:space="preserve">not ultimately </w:t>
      </w:r>
      <w:r>
        <w:rPr>
          <w:szCs w:val="24"/>
          <w:u w:val="none"/>
        </w:rPr>
        <w:t xml:space="preserve">be decided until the Supreme Court decides to resolve the circuit split or the Seventh Circuit overturns its ruling. As such the </w:t>
      </w:r>
      <w:r w:rsidR="00D51A1A">
        <w:rPr>
          <w:szCs w:val="24"/>
          <w:u w:val="none"/>
        </w:rPr>
        <w:t>focus</w:t>
      </w:r>
      <w:r>
        <w:rPr>
          <w:szCs w:val="24"/>
          <w:u w:val="none"/>
        </w:rPr>
        <w:t xml:space="preserve"> in this case is to produce a cogent analysis of the law as applied to the</w:t>
      </w:r>
      <w:r w:rsidR="00D51A1A">
        <w:rPr>
          <w:szCs w:val="24"/>
          <w:u w:val="none"/>
        </w:rPr>
        <w:t xml:space="preserve"> specific</w:t>
      </w:r>
      <w:r>
        <w:rPr>
          <w:szCs w:val="24"/>
          <w:u w:val="none"/>
        </w:rPr>
        <w:t xml:space="preserve"> facts.  The facts of this case are surprisingly simple.  Lime entered an agreement with the Plaintiff.  Lime and the Plaintiff both fulfilled their parts of the agreement.  Lime then decided that she wanted to use the work for another purpose.  Lime did not </w:t>
      </w:r>
      <w:r w:rsidR="009A3DA5">
        <w:rPr>
          <w:szCs w:val="24"/>
          <w:u w:val="none"/>
        </w:rPr>
        <w:t>obtain</w:t>
      </w:r>
      <w:r>
        <w:rPr>
          <w:szCs w:val="24"/>
          <w:u w:val="none"/>
        </w:rPr>
        <w:t xml:space="preserve"> the rights to the screenplay from the Plaintiff</w:t>
      </w:r>
      <w:r w:rsidR="009A3DA5">
        <w:rPr>
          <w:szCs w:val="24"/>
          <w:u w:val="none"/>
        </w:rPr>
        <w:t xml:space="preserve"> but instead took the material she had sold to the Plaintiff and used it for her own enrichment</w:t>
      </w:r>
      <w:r>
        <w:rPr>
          <w:szCs w:val="24"/>
          <w:u w:val="none"/>
        </w:rPr>
        <w:t>.  Lime is an experienced screenwriter</w:t>
      </w:r>
      <w:r w:rsidR="00A74F5C">
        <w:rPr>
          <w:szCs w:val="24"/>
          <w:u w:val="none"/>
        </w:rPr>
        <w:t xml:space="preserve"> who makes her living from producing copyrighted material.  A</w:t>
      </w:r>
      <w:r>
        <w:rPr>
          <w:szCs w:val="24"/>
          <w:u w:val="none"/>
        </w:rPr>
        <w:t>s such</w:t>
      </w:r>
      <w:r w:rsidR="00A74F5C">
        <w:rPr>
          <w:szCs w:val="24"/>
          <w:u w:val="none"/>
        </w:rPr>
        <w:t>, she</w:t>
      </w:r>
      <w:r>
        <w:rPr>
          <w:szCs w:val="24"/>
          <w:u w:val="none"/>
        </w:rPr>
        <w:t xml:space="preserve"> can reasonably be expected to be familiar with the business norms and copyright law.  She is not some innocent who </w:t>
      </w:r>
      <w:r w:rsidR="00A74F5C">
        <w:rPr>
          <w:szCs w:val="24"/>
          <w:u w:val="none"/>
        </w:rPr>
        <w:t xml:space="preserve">unknowingly </w:t>
      </w:r>
      <w:r>
        <w:rPr>
          <w:szCs w:val="24"/>
          <w:u w:val="none"/>
        </w:rPr>
        <w:t>transgressed</w:t>
      </w:r>
      <w:r w:rsidR="00A74F5C">
        <w:rPr>
          <w:szCs w:val="24"/>
          <w:u w:val="none"/>
        </w:rPr>
        <w:t xml:space="preserve"> an inscrutable law</w:t>
      </w:r>
      <w:r>
        <w:rPr>
          <w:szCs w:val="24"/>
          <w:u w:val="none"/>
        </w:rPr>
        <w:t>.</w:t>
      </w:r>
      <w:r w:rsidR="00A74F5C">
        <w:rPr>
          <w:szCs w:val="24"/>
          <w:u w:val="none"/>
        </w:rPr>
        <w:t xml:space="preserve">  She verbally confirmed her understanding and signed a short written </w:t>
      </w:r>
      <w:r w:rsidR="008665AF">
        <w:rPr>
          <w:szCs w:val="24"/>
          <w:u w:val="none"/>
        </w:rPr>
        <w:t>statement</w:t>
      </w:r>
      <w:r w:rsidR="00A74F5C">
        <w:rPr>
          <w:szCs w:val="24"/>
          <w:u w:val="none"/>
        </w:rPr>
        <w:t xml:space="preserve"> to that effect.  She then stole the resulting work from her </w:t>
      </w:r>
      <w:r w:rsidR="009A3DA5">
        <w:rPr>
          <w:szCs w:val="24"/>
          <w:u w:val="none"/>
        </w:rPr>
        <w:t>p</w:t>
      </w:r>
      <w:r w:rsidR="00A74F5C">
        <w:rPr>
          <w:szCs w:val="24"/>
          <w:u w:val="none"/>
        </w:rPr>
        <w:t>atron</w:t>
      </w:r>
      <w:r w:rsidR="00D51A1A">
        <w:rPr>
          <w:szCs w:val="24"/>
          <w:u w:val="none"/>
        </w:rPr>
        <w:t xml:space="preserve"> and now claims to have every right to do so</w:t>
      </w:r>
      <w:r w:rsidR="00A74F5C">
        <w:rPr>
          <w:szCs w:val="24"/>
          <w:u w:val="none"/>
        </w:rPr>
        <w:t>.</w:t>
      </w:r>
      <w:r w:rsidR="009A3DA5">
        <w:rPr>
          <w:szCs w:val="24"/>
          <w:u w:val="none"/>
        </w:rPr>
        <w:t xml:space="preserve">  </w:t>
      </w:r>
    </w:p>
    <w:p w14:paraId="5A333A6F" w14:textId="77777777" w:rsidR="006721D4" w:rsidRDefault="008820F4">
      <w:pPr>
        <w:jc w:val="both"/>
        <w:rPr>
          <w:b/>
        </w:rPr>
      </w:pPr>
      <w:r>
        <w:rPr>
          <w:b/>
        </w:rPr>
        <w:t>Conclusion</w:t>
      </w:r>
    </w:p>
    <w:p w14:paraId="7A559833" w14:textId="77777777" w:rsidR="006721D4" w:rsidRDefault="006721D4">
      <w:pPr>
        <w:jc w:val="both"/>
      </w:pPr>
    </w:p>
    <w:p w14:paraId="40BCE19A" w14:textId="77777777" w:rsidR="006721D4" w:rsidRDefault="00BC7DB1">
      <w:pPr>
        <w:spacing w:line="480" w:lineRule="auto"/>
        <w:ind w:firstLine="720"/>
        <w:jc w:val="both"/>
      </w:pPr>
      <w:r>
        <w:t xml:space="preserve">The precedent used by the defendants has been </w:t>
      </w:r>
      <w:r w:rsidR="00AE3CB4">
        <w:t>rejected by other courts that have examined this topic</w:t>
      </w:r>
      <w:r>
        <w:t xml:space="preserve">. </w:t>
      </w:r>
      <w:r w:rsidR="00AE3CB4">
        <w:t>They have instead</w:t>
      </w:r>
      <w:r w:rsidR="008820F4">
        <w:t xml:space="preserve"> followed the lead of the Second Circuit in not requiring the writing prior to creation of the work. Given the lack of Congressional </w:t>
      </w:r>
      <w:r w:rsidR="008820F4">
        <w:lastRenderedPageBreak/>
        <w:t xml:space="preserve">language requiring precreation writings, Congress’ decision not to clarify the issue when amending § </w:t>
      </w:r>
      <w:r>
        <w:t>101(2) of the copyright law,</w:t>
      </w:r>
      <w:r w:rsidR="008820F4">
        <w:t xml:space="preserve"> the </w:t>
      </w:r>
      <w:r w:rsidR="00FE32EE">
        <w:t>unacceptable</w:t>
      </w:r>
      <w:r w:rsidR="008820F4">
        <w:t xml:space="preserve"> public policy costs associated with the Defendants’ reading</w:t>
      </w:r>
      <w:r>
        <w:t>, and Defendant</w:t>
      </w:r>
      <w:r w:rsidR="008665AF">
        <w:t xml:space="preserve"> </w:t>
      </w:r>
      <w:r w:rsidR="001A69D2">
        <w:t>unethical</w:t>
      </w:r>
      <w:r w:rsidR="008665AF">
        <w:t xml:space="preserve"> behavior</w:t>
      </w:r>
      <w:r w:rsidR="008820F4">
        <w:t>; Plaintiff respectfully reque</w:t>
      </w:r>
      <w:r w:rsidR="00D51A1A">
        <w:t>sts the court deny Defendant’s M</w:t>
      </w:r>
      <w:r w:rsidR="008820F4">
        <w:t xml:space="preserve">otion to </w:t>
      </w:r>
      <w:r w:rsidR="00D51A1A">
        <w:t>D</w:t>
      </w:r>
      <w:r w:rsidR="008820F4">
        <w:t>ismiss.</w:t>
      </w:r>
    </w:p>
    <w:p w14:paraId="29279B33" w14:textId="77777777" w:rsidR="006721D4" w:rsidRDefault="006721D4">
      <w:pPr>
        <w:jc w:val="both"/>
      </w:pPr>
    </w:p>
    <w:p w14:paraId="6F79CD97" w14:textId="77777777" w:rsidR="006721D4" w:rsidRDefault="006721D4">
      <w:pPr>
        <w:jc w:val="both"/>
      </w:pPr>
    </w:p>
    <w:p w14:paraId="2ED1006F" w14:textId="77777777" w:rsidR="006721D4" w:rsidRDefault="008820F4">
      <w:pPr>
        <w:jc w:val="both"/>
      </w:pPr>
      <w:r>
        <w:t>Dated:  __________________</w:t>
      </w:r>
      <w:r>
        <w:tab/>
      </w:r>
      <w:r>
        <w:tab/>
      </w:r>
      <w:r>
        <w:tab/>
        <w:t>Respectfully submitted,</w:t>
      </w:r>
    </w:p>
    <w:p w14:paraId="230A6F6D" w14:textId="77777777" w:rsidR="006721D4" w:rsidRDefault="008820F4">
      <w:pPr>
        <w:jc w:val="both"/>
      </w:pPr>
      <w:r>
        <w:tab/>
      </w:r>
      <w:r w:rsidR="00D51A1A">
        <w:t>Mar 20</w:t>
      </w:r>
      <w:r>
        <w:t>, 2012</w:t>
      </w:r>
    </w:p>
    <w:p w14:paraId="62617EEA" w14:textId="77777777" w:rsidR="006721D4" w:rsidRDefault="008820F4" w:rsidP="004A601A">
      <w:pPr>
        <w:jc w:val="both"/>
      </w:pPr>
      <w:r>
        <w:tab/>
      </w:r>
      <w:r>
        <w:tab/>
      </w:r>
      <w:r>
        <w:tab/>
      </w:r>
      <w:r>
        <w:tab/>
      </w:r>
      <w:r>
        <w:tab/>
      </w:r>
      <w:r>
        <w:tab/>
      </w:r>
      <w:r>
        <w:tab/>
      </w:r>
      <w:r w:rsidR="004A601A">
        <w:rPr>
          <w:szCs w:val="24"/>
        </w:rPr>
        <w:t>&lt;redacted&gt;&lt;/redacted&gt;</w:t>
      </w:r>
      <w:bookmarkStart w:id="0" w:name="_GoBack"/>
      <w:bookmarkEnd w:id="0"/>
    </w:p>
    <w:p w14:paraId="514EBA70" w14:textId="77777777" w:rsidR="006721D4" w:rsidRDefault="008820F4">
      <w:pPr>
        <w:jc w:val="both"/>
      </w:pPr>
      <w:r>
        <w:tab/>
      </w:r>
      <w:r>
        <w:tab/>
      </w:r>
      <w:r>
        <w:tab/>
      </w:r>
      <w:r>
        <w:tab/>
      </w:r>
      <w:r>
        <w:tab/>
      </w:r>
      <w:r>
        <w:tab/>
      </w:r>
      <w:r>
        <w:tab/>
        <w:t>ATTORNEY FOR PLAINTIFF</w:t>
      </w:r>
    </w:p>
    <w:p w14:paraId="545335F3" w14:textId="77777777" w:rsidR="008820F4" w:rsidRDefault="008820F4">
      <w:pPr>
        <w:jc w:val="both"/>
      </w:pPr>
      <w:r>
        <w:tab/>
      </w:r>
      <w:r>
        <w:tab/>
      </w:r>
      <w:r>
        <w:tab/>
      </w:r>
      <w:r>
        <w:tab/>
      </w:r>
      <w:r>
        <w:tab/>
      </w:r>
      <w:r>
        <w:tab/>
      </w:r>
      <w:r>
        <w:tab/>
      </w:r>
      <w:r>
        <w:tab/>
        <w:t>OGS TV, Inc.</w:t>
      </w:r>
    </w:p>
    <w:sectPr w:rsidR="008820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Sans Unicode">
    <w:panose1 w:val="020B0602030504020204"/>
    <w:charset w:val="00"/>
    <w:family w:val="auto"/>
    <w:pitch w:val="variable"/>
    <w:sig w:usb0="80000AFF" w:usb1="0000396B" w:usb2="00000000" w:usb3="00000000" w:csb0="000000BF" w:csb1="00000000"/>
  </w:font>
  <w:font w:name="Mangal">
    <w:panose1 w:val="00000000000000000000"/>
    <w:charset w:val="01"/>
    <w:family w:val="roman"/>
    <w:notTrueType/>
    <w:pitch w:val="variable"/>
    <w:sig w:usb0="00002000" w:usb1="00000000" w:usb2="00000000" w:usb3="00000000" w:csb0="00000000" w:csb1="00000000"/>
  </w:font>
  <w:font w:name="TimesNewRoman">
    <w:altName w:val="Times New Roman"/>
    <w:charset w:val="00"/>
    <w:family w:val="roman"/>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Level1"/>
      <w:lvlText w:val="%1."/>
      <w:lvlJc w:val="left"/>
      <w:pPr>
        <w:tabs>
          <w:tab w:val="num" w:pos="0"/>
        </w:tabs>
        <w:ind w:left="0" w:firstLine="0"/>
      </w:pPr>
      <w:rPr>
        <w:rFonts w:cs="Times New Roman"/>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rPr>
        <w:rFonts w:cs="Times New Roman"/>
      </w:rPr>
    </w:lvl>
  </w:abstractNum>
  <w:abstractNum w:abstractNumId="2">
    <w:nsid w:val="00000003"/>
    <w:multiLevelType w:val="singleLevel"/>
    <w:tmpl w:val="00000003"/>
    <w:name w:val="WW8Num9"/>
    <w:lvl w:ilvl="0">
      <w:start w:val="1"/>
      <w:numFmt w:val="decimal"/>
      <w:lvlText w:val="%1)"/>
      <w:lvlJc w:val="left"/>
      <w:pPr>
        <w:tabs>
          <w:tab w:val="num" w:pos="0"/>
        </w:tabs>
        <w:ind w:left="720" w:hanging="360"/>
      </w:pPr>
      <w:rPr>
        <w:rFonts w:cs="Times New Roman"/>
      </w:rPr>
    </w:lvl>
  </w:abstractNum>
  <w:abstractNum w:abstractNumId="3">
    <w:nsid w:val="00000004"/>
    <w:multiLevelType w:val="singleLevel"/>
    <w:tmpl w:val="00000004"/>
    <w:name w:val="WW8Num10"/>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14"/>
    <w:lvl w:ilvl="0">
      <w:start w:val="1"/>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16"/>
    <w:lvl w:ilvl="0">
      <w:start w:val="1"/>
      <w:numFmt w:val="decimal"/>
      <w:lvlText w:val="%1)"/>
      <w:lvlJc w:val="left"/>
      <w:pPr>
        <w:tabs>
          <w:tab w:val="num" w:pos="0"/>
        </w:tabs>
        <w:ind w:left="720" w:hanging="360"/>
      </w:pPr>
      <w:rPr>
        <w:rFonts w:cs="Times New Roman"/>
      </w:rPr>
    </w:lvl>
  </w:abstractNum>
  <w:abstractNum w:abstractNumId="6">
    <w:nsid w:val="00000007"/>
    <w:multiLevelType w:val="singleLevel"/>
    <w:tmpl w:val="00000007"/>
    <w:name w:val="WW8Num27"/>
    <w:lvl w:ilvl="0">
      <w:start w:val="1"/>
      <w:numFmt w:val="decimal"/>
      <w:lvlText w:val="%1)"/>
      <w:lvlJc w:val="left"/>
      <w:pPr>
        <w:tabs>
          <w:tab w:val="num" w:pos="0"/>
        </w:tabs>
        <w:ind w:left="72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69E"/>
    <w:rsid w:val="000238B0"/>
    <w:rsid w:val="00040D57"/>
    <w:rsid w:val="0006743E"/>
    <w:rsid w:val="000B0AF2"/>
    <w:rsid w:val="00135C6D"/>
    <w:rsid w:val="00146A72"/>
    <w:rsid w:val="001A47F6"/>
    <w:rsid w:val="001A69D2"/>
    <w:rsid w:val="001D698D"/>
    <w:rsid w:val="001E649D"/>
    <w:rsid w:val="002417FD"/>
    <w:rsid w:val="0031288D"/>
    <w:rsid w:val="0044033D"/>
    <w:rsid w:val="004A601A"/>
    <w:rsid w:val="00596FE8"/>
    <w:rsid w:val="006036E2"/>
    <w:rsid w:val="006721D4"/>
    <w:rsid w:val="006873DD"/>
    <w:rsid w:val="0069764D"/>
    <w:rsid w:val="006D130A"/>
    <w:rsid w:val="00716DAD"/>
    <w:rsid w:val="007430C6"/>
    <w:rsid w:val="00790B4C"/>
    <w:rsid w:val="00792292"/>
    <w:rsid w:val="007A1C13"/>
    <w:rsid w:val="008665AF"/>
    <w:rsid w:val="008820F4"/>
    <w:rsid w:val="00896AB6"/>
    <w:rsid w:val="008C7DDC"/>
    <w:rsid w:val="009A3DA5"/>
    <w:rsid w:val="00A06811"/>
    <w:rsid w:val="00A23ED0"/>
    <w:rsid w:val="00A74F5C"/>
    <w:rsid w:val="00AC3ACD"/>
    <w:rsid w:val="00AE3CB4"/>
    <w:rsid w:val="00B06377"/>
    <w:rsid w:val="00BA3DD6"/>
    <w:rsid w:val="00BC7DB1"/>
    <w:rsid w:val="00BD7463"/>
    <w:rsid w:val="00C10BA1"/>
    <w:rsid w:val="00C12AF1"/>
    <w:rsid w:val="00C7669E"/>
    <w:rsid w:val="00D51A1A"/>
    <w:rsid w:val="00D73E71"/>
    <w:rsid w:val="00D84303"/>
    <w:rsid w:val="00DE22AC"/>
    <w:rsid w:val="00E16529"/>
    <w:rsid w:val="00E2242F"/>
    <w:rsid w:val="00E31F10"/>
    <w:rsid w:val="00E635D5"/>
    <w:rsid w:val="00EC45CF"/>
    <w:rsid w:val="00EE10B0"/>
    <w:rsid w:val="00F80D51"/>
    <w:rsid w:val="00FB2F5D"/>
    <w:rsid w:val="00FC4E03"/>
    <w:rsid w:val="00FE3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7BE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sz w:val="24"/>
      <w:lang w:eastAsia="ar-SA"/>
    </w:rPr>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rPr>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cs="Times New Roman"/>
    </w:rPr>
  </w:style>
  <w:style w:type="character" w:customStyle="1" w:styleId="WW8Num6z0">
    <w:name w:val="WW8Num6z0"/>
    <w:rPr>
      <w:rFonts w:cs="Times New Roman"/>
    </w:rPr>
  </w:style>
  <w:style w:type="character" w:customStyle="1" w:styleId="WW8Num7z0">
    <w:name w:val="WW8Num7z0"/>
    <w:rPr>
      <w:rFonts w:cs="Times New Roman"/>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rPr>
      <w:rFonts w:cs="Times New Roman"/>
    </w:rPr>
  </w:style>
  <w:style w:type="character" w:customStyle="1" w:styleId="WW8Num23z0">
    <w:name w:val="WW8Num23z0"/>
    <w:rPr>
      <w:rFonts w:cs="Times New Roman"/>
    </w:rPr>
  </w:style>
  <w:style w:type="character" w:customStyle="1" w:styleId="WW8Num24z0">
    <w:name w:val="WW8Num24z0"/>
    <w:rPr>
      <w:rFonts w:cs="Times New Roman"/>
    </w:rPr>
  </w:style>
  <w:style w:type="character" w:customStyle="1" w:styleId="WW8Num25z0">
    <w:name w:val="WW8Num25z0"/>
    <w:rPr>
      <w:rFonts w:cs="Times New Roman"/>
    </w:rPr>
  </w:style>
  <w:style w:type="character" w:customStyle="1" w:styleId="WW8Num26z0">
    <w:name w:val="WW8Num26z0"/>
    <w:rPr>
      <w:rFonts w:ascii="Symbol" w:hAnsi="Symbol"/>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St1z0">
    <w:name w:val="WW8NumSt1z0"/>
    <w:rPr>
      <w:rFonts w:cs="Times New Roman"/>
    </w:rPr>
  </w:style>
  <w:style w:type="character" w:customStyle="1" w:styleId="FootnoteCharacters">
    <w:name w:val="Footnote Characters"/>
    <w:basedOn w:val="DefaultParagraphFont"/>
  </w:style>
  <w:style w:type="character" w:styleId="PageNumber">
    <w:name w:val="page number"/>
    <w:basedOn w:val="DefaultParagraphFont"/>
    <w:rPr>
      <w:rFonts w:cs="Times New Roman"/>
    </w:rPr>
  </w:style>
  <w:style w:type="character" w:customStyle="1" w:styleId="BalloonTextChar">
    <w:name w:val="Balloon Text Char"/>
    <w:basedOn w:val="DefaultParagraphFont"/>
    <w:rPr>
      <w:rFonts w:ascii="Tahoma" w:hAnsi="Tahoma" w:cs="Tahoma"/>
      <w:sz w:val="16"/>
      <w:szCs w:val="16"/>
    </w:rPr>
  </w:style>
  <w:style w:type="character" w:styleId="Hyperlink">
    <w:name w:val="Hyperlink"/>
    <w:basedOn w:val="DefaultParagraphFont"/>
    <w:rPr>
      <w:rFonts w:cs="Times New Roman"/>
      <w:color w:val="145DA4"/>
      <w:u w:val="none"/>
    </w:rPr>
  </w:style>
  <w:style w:type="character" w:styleId="Emphasis">
    <w:name w:val="Emphasis"/>
    <w:basedOn w:val="DefaultParagraphFont"/>
    <w:qFormat/>
    <w:rPr>
      <w:rFonts w:cs="Times New Roman"/>
      <w:i/>
      <w:iCs/>
    </w:rPr>
  </w:style>
  <w:style w:type="character" w:customStyle="1" w:styleId="costarpage2">
    <w:name w:val="co_starpage2"/>
    <w:basedOn w:val="DefaultParagraphFont"/>
    <w:rPr>
      <w:rFonts w:cs="Times New Roman"/>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jc w:val="both"/>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customStyle="1" w:styleId="Level1">
    <w:name w:val="Level 1"/>
    <w:basedOn w:val="Normal"/>
    <w:pPr>
      <w:numPr>
        <w:numId w:val="1"/>
      </w:numPr>
      <w:ind w:left="2160" w:hanging="720"/>
      <w:outlineLvl w:val="0"/>
    </w:pPr>
  </w:style>
  <w:style w:type="paragraph" w:styleId="BodyTextIndent">
    <w:name w:val="Body Text Indent"/>
    <w:basedOn w:val="Normal"/>
    <w:pPr>
      <w:jc w:val="both"/>
    </w:pPr>
    <w:rPr>
      <w:u w:val="single"/>
    </w:rPr>
  </w:style>
  <w:style w:type="paragraph" w:styleId="BodyTextIndent2">
    <w:name w:val="Body Text Indent 2"/>
    <w:basedOn w:val="Normal"/>
    <w:pPr>
      <w:spacing w:line="360" w:lineRule="auto"/>
      <w:ind w:left="1080"/>
    </w:pPr>
  </w:style>
  <w:style w:type="paragraph" w:styleId="BodyTextIndent3">
    <w:name w:val="Body Text Indent 3"/>
    <w:basedOn w:val="Normal"/>
    <w:pPr>
      <w:spacing w:line="360" w:lineRule="auto"/>
      <w:ind w:left="720"/>
    </w:pPr>
  </w:style>
  <w:style w:type="paragraph" w:styleId="Footer">
    <w:name w:val="footer"/>
    <w:basedOn w:val="Normal"/>
    <w:pPr>
      <w:widowControl/>
      <w:tabs>
        <w:tab w:val="center" w:pos="4320"/>
        <w:tab w:val="right" w:pos="8640"/>
      </w:tabs>
    </w:pPr>
  </w:style>
  <w:style w:type="paragraph" w:styleId="Title">
    <w:name w:val="Title"/>
    <w:basedOn w:val="Normal"/>
    <w:next w:val="Subtitle"/>
    <w:qFormat/>
    <w:pPr>
      <w:jc w:val="center"/>
    </w:pPr>
    <w:rPr>
      <w:b/>
    </w:rPr>
  </w:style>
  <w:style w:type="paragraph" w:styleId="Subtitle">
    <w:name w:val="Subtitle"/>
    <w:basedOn w:val="Heading"/>
    <w:next w:val="BodyText"/>
    <w:qFormat/>
    <w:pPr>
      <w:jc w:val="center"/>
    </w:pPr>
    <w:rPr>
      <w:i/>
      <w:iCs/>
    </w:rPr>
  </w:style>
  <w:style w:type="paragraph" w:customStyle="1" w:styleId="WW-Default">
    <w:name w:val="WW-Default"/>
    <w:pPr>
      <w:suppressAutoHyphens/>
      <w:autoSpaceDE w:val="0"/>
    </w:pPr>
    <w:rPr>
      <w:rFonts w:eastAsia="Arial"/>
      <w:color w:val="000000"/>
      <w:sz w:val="24"/>
      <w:szCs w:val="24"/>
      <w:lang w:eastAsia="ar-SA"/>
    </w:rPr>
  </w:style>
  <w:style w:type="paragraph" w:styleId="BalloonText">
    <w:name w:val="Balloon Text"/>
    <w:basedOn w:val="Normal"/>
    <w:rPr>
      <w:rFonts w:ascii="Tahoma" w:hAnsi="Tahoma" w:cs="Tahoma"/>
      <w:sz w:val="16"/>
      <w:szCs w:val="16"/>
    </w:rPr>
  </w:style>
  <w:style w:type="paragraph" w:styleId="ListParagraph">
    <w:name w:val="List Paragraph"/>
    <w:basedOn w:val="Normal"/>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sz w:val="24"/>
      <w:lang w:eastAsia="ar-SA"/>
    </w:rPr>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cs="Times New Roman"/>
    </w:rPr>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cs="Times New Roman"/>
    </w:rPr>
  </w:style>
  <w:style w:type="character" w:customStyle="1" w:styleId="WW8Num6z0">
    <w:name w:val="WW8Num6z0"/>
    <w:rPr>
      <w:rFonts w:cs="Times New Roman"/>
    </w:rPr>
  </w:style>
  <w:style w:type="character" w:customStyle="1" w:styleId="WW8Num7z0">
    <w:name w:val="WW8Num7z0"/>
    <w:rPr>
      <w:rFonts w:cs="Times New Roman"/>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rPr>
      <w:rFonts w:cs="Times New Roman"/>
    </w:rPr>
  </w:style>
  <w:style w:type="character" w:customStyle="1" w:styleId="WW8Num23z0">
    <w:name w:val="WW8Num23z0"/>
    <w:rPr>
      <w:rFonts w:cs="Times New Roman"/>
    </w:rPr>
  </w:style>
  <w:style w:type="character" w:customStyle="1" w:styleId="WW8Num24z0">
    <w:name w:val="WW8Num24z0"/>
    <w:rPr>
      <w:rFonts w:cs="Times New Roman"/>
    </w:rPr>
  </w:style>
  <w:style w:type="character" w:customStyle="1" w:styleId="WW8Num25z0">
    <w:name w:val="WW8Num25z0"/>
    <w:rPr>
      <w:rFonts w:cs="Times New Roman"/>
    </w:rPr>
  </w:style>
  <w:style w:type="character" w:customStyle="1" w:styleId="WW8Num26z0">
    <w:name w:val="WW8Num26z0"/>
    <w:rPr>
      <w:rFonts w:ascii="Symbol" w:hAnsi="Symbol"/>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St1z0">
    <w:name w:val="WW8NumSt1z0"/>
    <w:rPr>
      <w:rFonts w:cs="Times New Roman"/>
    </w:rPr>
  </w:style>
  <w:style w:type="character" w:customStyle="1" w:styleId="FootnoteCharacters">
    <w:name w:val="Footnote Characters"/>
    <w:basedOn w:val="DefaultParagraphFont"/>
  </w:style>
  <w:style w:type="character" w:styleId="PageNumber">
    <w:name w:val="page number"/>
    <w:basedOn w:val="DefaultParagraphFont"/>
    <w:rPr>
      <w:rFonts w:cs="Times New Roman"/>
    </w:rPr>
  </w:style>
  <w:style w:type="character" w:customStyle="1" w:styleId="BalloonTextChar">
    <w:name w:val="Balloon Text Char"/>
    <w:basedOn w:val="DefaultParagraphFont"/>
    <w:rPr>
      <w:rFonts w:ascii="Tahoma" w:hAnsi="Tahoma" w:cs="Tahoma"/>
      <w:sz w:val="16"/>
      <w:szCs w:val="16"/>
    </w:rPr>
  </w:style>
  <w:style w:type="character" w:styleId="Hyperlink">
    <w:name w:val="Hyperlink"/>
    <w:basedOn w:val="DefaultParagraphFont"/>
    <w:rPr>
      <w:rFonts w:cs="Times New Roman"/>
      <w:color w:val="145DA4"/>
      <w:u w:val="none"/>
    </w:rPr>
  </w:style>
  <w:style w:type="character" w:styleId="Emphasis">
    <w:name w:val="Emphasis"/>
    <w:basedOn w:val="DefaultParagraphFont"/>
    <w:qFormat/>
    <w:rPr>
      <w:rFonts w:cs="Times New Roman"/>
      <w:i/>
      <w:iCs/>
    </w:rPr>
  </w:style>
  <w:style w:type="character" w:customStyle="1" w:styleId="costarpage2">
    <w:name w:val="co_starpage2"/>
    <w:basedOn w:val="DefaultParagraphFont"/>
    <w:rPr>
      <w:rFonts w:cs="Times New Roman"/>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basedOn w:val="Normal"/>
    <w:pPr>
      <w:jc w:val="both"/>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customStyle="1" w:styleId="Level1">
    <w:name w:val="Level 1"/>
    <w:basedOn w:val="Normal"/>
    <w:pPr>
      <w:numPr>
        <w:numId w:val="1"/>
      </w:numPr>
      <w:ind w:left="2160" w:hanging="720"/>
      <w:outlineLvl w:val="0"/>
    </w:pPr>
  </w:style>
  <w:style w:type="paragraph" w:styleId="BodyTextIndent">
    <w:name w:val="Body Text Indent"/>
    <w:basedOn w:val="Normal"/>
    <w:pPr>
      <w:jc w:val="both"/>
    </w:pPr>
    <w:rPr>
      <w:u w:val="single"/>
    </w:rPr>
  </w:style>
  <w:style w:type="paragraph" w:styleId="BodyTextIndent2">
    <w:name w:val="Body Text Indent 2"/>
    <w:basedOn w:val="Normal"/>
    <w:pPr>
      <w:spacing w:line="360" w:lineRule="auto"/>
      <w:ind w:left="1080"/>
    </w:pPr>
  </w:style>
  <w:style w:type="paragraph" w:styleId="BodyTextIndent3">
    <w:name w:val="Body Text Indent 3"/>
    <w:basedOn w:val="Normal"/>
    <w:pPr>
      <w:spacing w:line="360" w:lineRule="auto"/>
      <w:ind w:left="720"/>
    </w:pPr>
  </w:style>
  <w:style w:type="paragraph" w:styleId="Footer">
    <w:name w:val="footer"/>
    <w:basedOn w:val="Normal"/>
    <w:pPr>
      <w:widowControl/>
      <w:tabs>
        <w:tab w:val="center" w:pos="4320"/>
        <w:tab w:val="right" w:pos="8640"/>
      </w:tabs>
    </w:pPr>
  </w:style>
  <w:style w:type="paragraph" w:styleId="Title">
    <w:name w:val="Title"/>
    <w:basedOn w:val="Normal"/>
    <w:next w:val="Subtitle"/>
    <w:qFormat/>
    <w:pPr>
      <w:jc w:val="center"/>
    </w:pPr>
    <w:rPr>
      <w:b/>
    </w:rPr>
  </w:style>
  <w:style w:type="paragraph" w:styleId="Subtitle">
    <w:name w:val="Subtitle"/>
    <w:basedOn w:val="Heading"/>
    <w:next w:val="BodyText"/>
    <w:qFormat/>
    <w:pPr>
      <w:jc w:val="center"/>
    </w:pPr>
    <w:rPr>
      <w:i/>
      <w:iCs/>
    </w:rPr>
  </w:style>
  <w:style w:type="paragraph" w:customStyle="1" w:styleId="WW-Default">
    <w:name w:val="WW-Default"/>
    <w:pPr>
      <w:suppressAutoHyphens/>
      <w:autoSpaceDE w:val="0"/>
    </w:pPr>
    <w:rPr>
      <w:rFonts w:eastAsia="Arial"/>
      <w:color w:val="000000"/>
      <w:sz w:val="24"/>
      <w:szCs w:val="24"/>
      <w:lang w:eastAsia="ar-SA"/>
    </w:rPr>
  </w:style>
  <w:style w:type="paragraph" w:styleId="BalloonText">
    <w:name w:val="Balloon Text"/>
    <w:basedOn w:val="Normal"/>
    <w:rPr>
      <w:rFonts w:ascii="Tahoma" w:hAnsi="Tahoma" w:cs="Tahoma"/>
      <w:sz w:val="16"/>
      <w:szCs w:val="16"/>
    </w:rPr>
  </w:style>
  <w:style w:type="paragraph" w:styleId="ListParagraph">
    <w:name w:val="List Paragraph"/>
    <w:basedOn w:val="Normal"/>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opyright.gov/circs/circ09.pdf" TargetMode="External"/><Relationship Id="rId7" Type="http://schemas.openxmlformats.org/officeDocument/2006/relationships/hyperlink" Target="http://cyber.law.harvard.edu/IPCoop/89land1.html" TargetMode="External"/><Relationship Id="rId8" Type="http://schemas.openxmlformats.org/officeDocument/2006/relationships/hyperlink" Target="http://truckandbarter.com/2010/04/how-much-does-h.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4244</Words>
  <Characters>21818</Characters>
  <Application>Microsoft Macintosh Word</Application>
  <DocSecurity>0</DocSecurity>
  <Lines>369</Lines>
  <Paragraphs>75</Paragraphs>
  <ScaleCrop>false</ScaleCrop>
  <HeadingPairs>
    <vt:vector size="2" baseType="variant">
      <vt:variant>
        <vt:lpstr>Title</vt:lpstr>
      </vt:variant>
      <vt:variant>
        <vt:i4>1</vt:i4>
      </vt:variant>
    </vt:vector>
  </HeadingPairs>
  <TitlesOfParts>
    <vt:vector size="1" baseType="lpstr">
      <vt:lpstr>August 11, 1999</vt:lpstr>
    </vt:vector>
  </TitlesOfParts>
  <Manager/>
  <Company/>
  <LinksUpToDate>false</LinksUpToDate>
  <CharactersWithSpaces>25987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2012-03-06T21:09:00Z</cp:lastPrinted>
  <dcterms:created xsi:type="dcterms:W3CDTF">2012-04-11T01:50:00Z</dcterms:created>
  <dcterms:modified xsi:type="dcterms:W3CDTF">2012-06-01T20:52:00Z</dcterms:modified>
  <cp:category/>
</cp:coreProperties>
</file>